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FFEC" w14:textId="14DDB2E7" w:rsidR="00447E64" w:rsidRDefault="00D9611F" w:rsidP="00D9611F">
      <w:pPr>
        <w:ind w:left="7200" w:firstLine="720"/>
      </w:pPr>
      <w:r>
        <w:rPr>
          <w:noProof/>
        </w:rPr>
        <w:drawing>
          <wp:inline distT="0" distB="0" distL="0" distR="0" wp14:anchorId="01A4CC76" wp14:editId="2A446BB0">
            <wp:extent cx="847725" cy="838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p w14:paraId="11A276D0" w14:textId="20B4BB9E" w:rsidR="00D9611F" w:rsidRDefault="00D9611F" w:rsidP="00D9611F">
      <w:pPr>
        <w:jc w:val="both"/>
      </w:pPr>
    </w:p>
    <w:p w14:paraId="508E5CC3" w14:textId="0E7C2086" w:rsidR="00D9611F" w:rsidRDefault="00EA7527" w:rsidP="00D9611F">
      <w:pPr>
        <w:jc w:val="center"/>
        <w:rPr>
          <w:b/>
          <w:noProof/>
          <w:color w:val="AE2573"/>
          <w:sz w:val="44"/>
          <w:szCs w:val="28"/>
        </w:rPr>
      </w:pPr>
      <w:r>
        <w:rPr>
          <w:b/>
          <w:noProof/>
          <w:color w:val="AE2573"/>
          <w:sz w:val="44"/>
          <w:szCs w:val="28"/>
        </w:rPr>
        <w:t>Workforce Race Equality Standard Report</w:t>
      </w:r>
    </w:p>
    <w:p w14:paraId="4AF86A1A" w14:textId="0995F2A3" w:rsidR="00EA7527" w:rsidRDefault="001D4C5E" w:rsidP="00D9611F">
      <w:pPr>
        <w:jc w:val="center"/>
        <w:rPr>
          <w:b/>
          <w:noProof/>
          <w:color w:val="AE2573"/>
          <w:sz w:val="44"/>
          <w:szCs w:val="28"/>
        </w:rPr>
      </w:pPr>
      <w:r>
        <w:rPr>
          <w:b/>
          <w:noProof/>
          <w:color w:val="AE2573"/>
          <w:sz w:val="44"/>
          <w:szCs w:val="28"/>
        </w:rPr>
        <w:t>2020-21</w:t>
      </w:r>
    </w:p>
    <w:p w14:paraId="54360B51" w14:textId="18EFB89D" w:rsidR="003E31F3" w:rsidRDefault="003E31F3" w:rsidP="00D9611F">
      <w:pPr>
        <w:jc w:val="center"/>
        <w:rPr>
          <w:b/>
          <w:noProof/>
          <w:color w:val="AE2573"/>
          <w:sz w:val="28"/>
          <w:szCs w:val="28"/>
        </w:rPr>
      </w:pPr>
    </w:p>
    <w:p w14:paraId="3F8A1F40" w14:textId="77777777" w:rsidR="00F1459D" w:rsidRDefault="00F1459D" w:rsidP="00D9611F">
      <w:pPr>
        <w:jc w:val="center"/>
        <w:rPr>
          <w:b/>
          <w:noProof/>
          <w:color w:val="AE2573"/>
          <w:sz w:val="28"/>
          <w:szCs w:val="28"/>
        </w:rPr>
      </w:pPr>
    </w:p>
    <w:p w14:paraId="5889FEDA" w14:textId="7357F6AF" w:rsidR="001D4C5E" w:rsidRPr="003C6295" w:rsidRDefault="003E31F3" w:rsidP="00D9611F">
      <w:pPr>
        <w:jc w:val="center"/>
        <w:rPr>
          <w:b/>
          <w:i/>
          <w:iCs/>
          <w:noProof/>
          <w:color w:val="AE2573"/>
          <w:sz w:val="28"/>
          <w:szCs w:val="28"/>
        </w:rPr>
      </w:pPr>
      <w:r w:rsidRPr="003C6295">
        <w:rPr>
          <w:b/>
          <w:i/>
          <w:iCs/>
          <w:noProof/>
          <w:color w:val="AE2573"/>
          <w:sz w:val="28"/>
          <w:szCs w:val="28"/>
        </w:rPr>
        <w:t xml:space="preserve">Author: </w:t>
      </w:r>
      <w:r w:rsidR="001D4C5E" w:rsidRPr="003C6295">
        <w:rPr>
          <w:b/>
          <w:i/>
          <w:iCs/>
          <w:noProof/>
          <w:color w:val="AE2573"/>
          <w:sz w:val="28"/>
          <w:szCs w:val="28"/>
        </w:rPr>
        <w:t xml:space="preserve">Kate Sonpal </w:t>
      </w:r>
      <w:r w:rsidR="009F6B70">
        <w:rPr>
          <w:b/>
          <w:i/>
          <w:iCs/>
          <w:noProof/>
          <w:color w:val="AE2573"/>
          <w:sz w:val="28"/>
          <w:szCs w:val="28"/>
        </w:rPr>
        <w:t>Head of Diversity &amp; Inclusion</w:t>
      </w:r>
    </w:p>
    <w:p w14:paraId="6B9BF280" w14:textId="0088688F" w:rsidR="00F1459D" w:rsidRPr="003C6295" w:rsidRDefault="00F1459D" w:rsidP="00D9611F">
      <w:pPr>
        <w:jc w:val="center"/>
        <w:rPr>
          <w:b/>
          <w:i/>
          <w:iCs/>
          <w:noProof/>
          <w:color w:val="AE2573"/>
          <w:sz w:val="28"/>
          <w:szCs w:val="28"/>
        </w:rPr>
      </w:pPr>
    </w:p>
    <w:p w14:paraId="0C1FE130" w14:textId="3E0E9A7F" w:rsidR="00F1459D" w:rsidRDefault="00F1459D" w:rsidP="00D9611F">
      <w:pPr>
        <w:jc w:val="center"/>
        <w:rPr>
          <w:b/>
          <w:noProof/>
          <w:color w:val="AE2573"/>
          <w:sz w:val="28"/>
          <w:szCs w:val="28"/>
        </w:rPr>
      </w:pPr>
    </w:p>
    <w:p w14:paraId="5149D7FC" w14:textId="77777777" w:rsidR="00F1459D" w:rsidRDefault="00F1459D" w:rsidP="00D9611F">
      <w:pPr>
        <w:jc w:val="center"/>
        <w:rPr>
          <w:b/>
          <w:noProof/>
          <w:color w:val="AE2573"/>
          <w:sz w:val="28"/>
          <w:szCs w:val="28"/>
        </w:rPr>
      </w:pPr>
    </w:p>
    <w:p w14:paraId="203F1E1B" w14:textId="5AE43CE6" w:rsidR="009D1206" w:rsidRDefault="00F1459D" w:rsidP="00D9611F">
      <w:pPr>
        <w:jc w:val="center"/>
        <w:rPr>
          <w:b/>
          <w:noProof/>
          <w:color w:val="AE2573"/>
          <w:sz w:val="28"/>
          <w:szCs w:val="28"/>
        </w:rPr>
      </w:pPr>
      <w:r>
        <w:rPr>
          <w:noProof/>
        </w:rPr>
        <w:drawing>
          <wp:inline distT="0" distB="0" distL="0" distR="0" wp14:anchorId="1748500F" wp14:editId="26112A60">
            <wp:extent cx="1436657" cy="2154507"/>
            <wp:effectExtent l="133350" t="76200" r="87630" b="132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021" cy="219254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14:anchorId="5A533F2F" wp14:editId="43781753">
            <wp:extent cx="2195382" cy="1646657"/>
            <wp:effectExtent l="121920" t="68580" r="98425" b="136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11451" cy="16587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14:anchorId="01013201" wp14:editId="3BDC6ACF">
            <wp:extent cx="1479790" cy="2219192"/>
            <wp:effectExtent l="133350" t="76200" r="82550" b="1244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25" cy="22531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11C04FF" w14:textId="11FA695C" w:rsidR="001D4C5E" w:rsidRDefault="001D4C5E" w:rsidP="00E63DAF">
      <w:pPr>
        <w:jc w:val="right"/>
        <w:rPr>
          <w:sz w:val="28"/>
          <w:szCs w:val="28"/>
        </w:rPr>
      </w:pPr>
    </w:p>
    <w:p w14:paraId="4EA89FF3" w14:textId="360D0997" w:rsidR="00087E07" w:rsidRDefault="00087E07" w:rsidP="00E63DAF">
      <w:pPr>
        <w:jc w:val="right"/>
        <w:rPr>
          <w:sz w:val="28"/>
          <w:szCs w:val="28"/>
        </w:rPr>
      </w:pPr>
    </w:p>
    <w:p w14:paraId="2D35B74E" w14:textId="00C5EFD3" w:rsidR="00087E07" w:rsidRDefault="00087E07" w:rsidP="00E63DAF">
      <w:pPr>
        <w:jc w:val="right"/>
        <w:rPr>
          <w:sz w:val="28"/>
          <w:szCs w:val="28"/>
        </w:rPr>
      </w:pPr>
    </w:p>
    <w:p w14:paraId="448E25E1" w14:textId="1C4FF35F" w:rsidR="00087E07" w:rsidRDefault="00087E07" w:rsidP="00E63DAF">
      <w:pPr>
        <w:jc w:val="right"/>
        <w:rPr>
          <w:sz w:val="28"/>
          <w:szCs w:val="28"/>
        </w:rPr>
      </w:pPr>
    </w:p>
    <w:p w14:paraId="680682BA" w14:textId="5B3736B4" w:rsidR="00E53ED5" w:rsidRPr="00E53ED5" w:rsidRDefault="00E53ED5" w:rsidP="00087E07">
      <w:pPr>
        <w:rPr>
          <w:b/>
          <w:noProof/>
          <w:color w:val="AE2573"/>
          <w:sz w:val="36"/>
          <w:szCs w:val="36"/>
        </w:rPr>
      </w:pPr>
      <w:r w:rsidRPr="00E53ED5">
        <w:rPr>
          <w:b/>
          <w:noProof/>
          <w:color w:val="AE2573"/>
          <w:sz w:val="36"/>
          <w:szCs w:val="36"/>
        </w:rPr>
        <w:lastRenderedPageBreak/>
        <w:t>Workforce Race Equality Standard</w:t>
      </w:r>
    </w:p>
    <w:p w14:paraId="42383F28" w14:textId="183FF0D3" w:rsidR="00087E07" w:rsidRDefault="00E53ED5" w:rsidP="00087E07">
      <w:pPr>
        <w:rPr>
          <w:b/>
          <w:noProof/>
          <w:color w:val="AE2573"/>
          <w:sz w:val="28"/>
          <w:szCs w:val="28"/>
        </w:rPr>
      </w:pPr>
      <w:r>
        <w:rPr>
          <w:b/>
          <w:noProof/>
          <w:color w:val="AE2573"/>
          <w:sz w:val="28"/>
          <w:szCs w:val="28"/>
        </w:rPr>
        <w:t xml:space="preserve">1. </w:t>
      </w:r>
      <w:r w:rsidR="00087E07">
        <w:rPr>
          <w:b/>
          <w:noProof/>
          <w:color w:val="AE2573"/>
          <w:sz w:val="28"/>
          <w:szCs w:val="28"/>
        </w:rPr>
        <w:t>Introduction</w:t>
      </w:r>
    </w:p>
    <w:p w14:paraId="7979A95B" w14:textId="6058CC7D" w:rsidR="00087E07" w:rsidRDefault="009F7B79" w:rsidP="00087E07">
      <w:r>
        <w:t xml:space="preserve">The Workforce Race Equality Standard (WRES) </w:t>
      </w:r>
      <w:r w:rsidR="002D5FBE">
        <w:t>is</w:t>
      </w:r>
      <w:r>
        <w:t xml:space="preserve"> a set of</w:t>
      </w:r>
      <w:r w:rsidR="00AB5C26">
        <w:t xml:space="preserve"> nine</w:t>
      </w:r>
      <w:r>
        <w:t xml:space="preserve"> indicators that </w:t>
      </w:r>
      <w:r w:rsidR="00196174">
        <w:t xml:space="preserve">measure the </w:t>
      </w:r>
      <w:r w:rsidR="00622992">
        <w:t>experiences and career progression of BAME</w:t>
      </w:r>
      <w:r w:rsidR="00B5510F">
        <w:t xml:space="preserve"> </w:t>
      </w:r>
      <w:r w:rsidR="00622992">
        <w:t>staff</w:t>
      </w:r>
      <w:r w:rsidR="00B5510F">
        <w:t xml:space="preserve"> </w:t>
      </w:r>
      <w:r w:rsidR="0084570B">
        <w:t xml:space="preserve"> and has been a mandatory requirement since 20</w:t>
      </w:r>
      <w:r w:rsidR="008C58CB">
        <w:t>1</w:t>
      </w:r>
      <w:r w:rsidR="0084570B">
        <w:t xml:space="preserve">5-16.  All </w:t>
      </w:r>
      <w:r w:rsidR="0006438D">
        <w:t>NHS Trusts are required to submit their WRES data</w:t>
      </w:r>
      <w:r w:rsidR="00AB5C26">
        <w:t xml:space="preserve"> and subsequentially</w:t>
      </w:r>
      <w:r w:rsidR="0006438D">
        <w:t xml:space="preserve"> write a report and action plan that must be publicly available on their website.</w:t>
      </w:r>
    </w:p>
    <w:tbl>
      <w:tblPr>
        <w:tblStyle w:val="TableGrid"/>
        <w:tblW w:w="0" w:type="auto"/>
        <w:tblLook w:val="04A0" w:firstRow="1" w:lastRow="0" w:firstColumn="1" w:lastColumn="0" w:noHBand="0" w:noVBand="1"/>
      </w:tblPr>
      <w:tblGrid>
        <w:gridCol w:w="674"/>
        <w:gridCol w:w="8342"/>
      </w:tblGrid>
      <w:tr w:rsidR="006465BA" w14:paraId="11FD2E52" w14:textId="77777777" w:rsidTr="00FD3F30">
        <w:tc>
          <w:tcPr>
            <w:tcW w:w="9039" w:type="dxa"/>
            <w:gridSpan w:val="2"/>
            <w:shd w:val="clear" w:color="auto" w:fill="548DD4" w:themeFill="text2" w:themeFillTint="99"/>
          </w:tcPr>
          <w:p w14:paraId="645E5559" w14:textId="46F92B15" w:rsidR="006465BA" w:rsidRDefault="006465BA" w:rsidP="00087E07">
            <w:r>
              <w:t>WRES Indicator</w:t>
            </w:r>
          </w:p>
        </w:tc>
      </w:tr>
      <w:tr w:rsidR="006465BA" w14:paraId="388CD558" w14:textId="77777777" w:rsidTr="00FD3F30">
        <w:tc>
          <w:tcPr>
            <w:tcW w:w="9039" w:type="dxa"/>
            <w:gridSpan w:val="2"/>
            <w:shd w:val="clear" w:color="auto" w:fill="00B0F0"/>
          </w:tcPr>
          <w:p w14:paraId="0FBF4A2A" w14:textId="5315B51B" w:rsidR="006465BA" w:rsidRDefault="006465BA" w:rsidP="00087E07">
            <w:r>
              <w:t>Data from ESR</w:t>
            </w:r>
          </w:p>
        </w:tc>
      </w:tr>
      <w:tr w:rsidR="006465BA" w14:paraId="2C9A5C82" w14:textId="77777777" w:rsidTr="00FD3F30">
        <w:tc>
          <w:tcPr>
            <w:tcW w:w="675" w:type="dxa"/>
          </w:tcPr>
          <w:p w14:paraId="789D6123" w14:textId="7B2DD515" w:rsidR="006465BA" w:rsidRDefault="006465BA" w:rsidP="00087E07">
            <w:r>
              <w:t>1</w:t>
            </w:r>
          </w:p>
        </w:tc>
        <w:tc>
          <w:tcPr>
            <w:tcW w:w="8364" w:type="dxa"/>
          </w:tcPr>
          <w:p w14:paraId="48A47852" w14:textId="64290AE1" w:rsidR="006465BA" w:rsidRDefault="006465BA" w:rsidP="00087E07">
            <w:r>
              <w:t>Percentage of BAME staff</w:t>
            </w:r>
          </w:p>
        </w:tc>
      </w:tr>
      <w:tr w:rsidR="006465BA" w14:paraId="422B4DB0" w14:textId="77777777" w:rsidTr="00FD3F30">
        <w:tc>
          <w:tcPr>
            <w:tcW w:w="675" w:type="dxa"/>
          </w:tcPr>
          <w:p w14:paraId="38DB9F59" w14:textId="15933C59" w:rsidR="006465BA" w:rsidRDefault="006465BA" w:rsidP="00087E07">
            <w:r>
              <w:t>2</w:t>
            </w:r>
          </w:p>
        </w:tc>
        <w:tc>
          <w:tcPr>
            <w:tcW w:w="8364" w:type="dxa"/>
          </w:tcPr>
          <w:p w14:paraId="5C7CF50B" w14:textId="209E6EA8" w:rsidR="006465BA" w:rsidRDefault="006465BA" w:rsidP="00087E07">
            <w:r>
              <w:t>Relative likelihood of white applicants being appointed from shortlisting across all posts compared to BAME applicants</w:t>
            </w:r>
            <w:r w:rsidR="0027310F">
              <w:t xml:space="preserve"> </w:t>
            </w:r>
          </w:p>
        </w:tc>
      </w:tr>
      <w:tr w:rsidR="006465BA" w14:paraId="247D4B68" w14:textId="77777777" w:rsidTr="00FD3F30">
        <w:tc>
          <w:tcPr>
            <w:tcW w:w="675" w:type="dxa"/>
          </w:tcPr>
          <w:p w14:paraId="12503088" w14:textId="44AC8FA4" w:rsidR="006465BA" w:rsidRDefault="006465BA" w:rsidP="00087E07">
            <w:r>
              <w:t>3</w:t>
            </w:r>
          </w:p>
        </w:tc>
        <w:tc>
          <w:tcPr>
            <w:tcW w:w="8364" w:type="dxa"/>
          </w:tcPr>
          <w:p w14:paraId="296291D9" w14:textId="215B3FD5" w:rsidR="006465BA" w:rsidRDefault="006465BA" w:rsidP="00087E07">
            <w:r>
              <w:t>Relative likelihood of BME staff entering the formal disciplinary process compared to white staff</w:t>
            </w:r>
          </w:p>
        </w:tc>
      </w:tr>
      <w:tr w:rsidR="006465BA" w14:paraId="10D97D0A" w14:textId="77777777" w:rsidTr="00FD3F30">
        <w:tc>
          <w:tcPr>
            <w:tcW w:w="675" w:type="dxa"/>
          </w:tcPr>
          <w:p w14:paraId="75C29717" w14:textId="2B0F6870" w:rsidR="006465BA" w:rsidRDefault="006465BA" w:rsidP="00087E07">
            <w:r>
              <w:t>4</w:t>
            </w:r>
          </w:p>
        </w:tc>
        <w:tc>
          <w:tcPr>
            <w:tcW w:w="8364" w:type="dxa"/>
          </w:tcPr>
          <w:p w14:paraId="452B440B" w14:textId="63D6C0C3" w:rsidR="006465BA" w:rsidRDefault="006465BA" w:rsidP="00087E07">
            <w:r>
              <w:t>Relative likelihood of white staff accessing non-mandatory training and continuous professional development (CPD) compared to BME staff</w:t>
            </w:r>
          </w:p>
        </w:tc>
      </w:tr>
      <w:tr w:rsidR="006465BA" w14:paraId="2BE25946" w14:textId="77777777" w:rsidTr="00FD3F30">
        <w:tc>
          <w:tcPr>
            <w:tcW w:w="9039" w:type="dxa"/>
            <w:gridSpan w:val="2"/>
            <w:shd w:val="clear" w:color="auto" w:fill="00B0F0"/>
          </w:tcPr>
          <w:p w14:paraId="1FC38C19" w14:textId="5DCFA9EA" w:rsidR="006465BA" w:rsidRDefault="006465BA" w:rsidP="00087E07">
            <w:r>
              <w:t>Data from staff survey</w:t>
            </w:r>
          </w:p>
        </w:tc>
      </w:tr>
      <w:tr w:rsidR="006465BA" w14:paraId="4C118E99" w14:textId="77777777" w:rsidTr="00FD3F30">
        <w:tc>
          <w:tcPr>
            <w:tcW w:w="675" w:type="dxa"/>
          </w:tcPr>
          <w:p w14:paraId="029EADA5" w14:textId="01C8BB30" w:rsidR="006465BA" w:rsidRDefault="006465BA" w:rsidP="00087E07">
            <w:r>
              <w:t>5</w:t>
            </w:r>
          </w:p>
        </w:tc>
        <w:tc>
          <w:tcPr>
            <w:tcW w:w="8364" w:type="dxa"/>
          </w:tcPr>
          <w:p w14:paraId="1C785195" w14:textId="1248A88F" w:rsidR="006465BA" w:rsidRDefault="006465BA" w:rsidP="00087E07">
            <w:r>
              <w:t xml:space="preserve">Percentage of staff experiencing harassment, bullying or abuse from patients, </w:t>
            </w:r>
            <w:r w:rsidR="00AD49CF">
              <w:t>relatives,</w:t>
            </w:r>
            <w:r>
              <w:t xml:space="preserve"> or the public in last 12 months</w:t>
            </w:r>
          </w:p>
        </w:tc>
      </w:tr>
      <w:tr w:rsidR="006465BA" w14:paraId="1C55F5FE" w14:textId="77777777" w:rsidTr="00FD3F30">
        <w:tc>
          <w:tcPr>
            <w:tcW w:w="675" w:type="dxa"/>
          </w:tcPr>
          <w:p w14:paraId="58985A33" w14:textId="261F9668" w:rsidR="006465BA" w:rsidRDefault="006465BA" w:rsidP="00087E07">
            <w:r>
              <w:t>6</w:t>
            </w:r>
          </w:p>
        </w:tc>
        <w:tc>
          <w:tcPr>
            <w:tcW w:w="8364" w:type="dxa"/>
          </w:tcPr>
          <w:p w14:paraId="67C92F77" w14:textId="5E1B0E02" w:rsidR="006465BA" w:rsidRDefault="006465BA" w:rsidP="00087E07">
            <w:r>
              <w:t>Percentage of staff experiencing harassment, bullying or abuse from staff in last 12 month</w:t>
            </w:r>
          </w:p>
        </w:tc>
      </w:tr>
      <w:tr w:rsidR="006465BA" w14:paraId="09A21F93" w14:textId="77777777" w:rsidTr="00FD3F30">
        <w:tc>
          <w:tcPr>
            <w:tcW w:w="675" w:type="dxa"/>
          </w:tcPr>
          <w:p w14:paraId="28CADB01" w14:textId="4EF55032" w:rsidR="006465BA" w:rsidRDefault="006465BA" w:rsidP="00087E07">
            <w:r>
              <w:t>7</w:t>
            </w:r>
          </w:p>
        </w:tc>
        <w:tc>
          <w:tcPr>
            <w:tcW w:w="8364" w:type="dxa"/>
          </w:tcPr>
          <w:p w14:paraId="09408504" w14:textId="3637006F" w:rsidR="006465BA" w:rsidRDefault="006465BA" w:rsidP="00087E07">
            <w:r>
              <w:t>Percentage of staff believing that trust provides equal opportunities for career progression or promotion</w:t>
            </w:r>
          </w:p>
        </w:tc>
      </w:tr>
      <w:tr w:rsidR="006465BA" w14:paraId="248AB87A" w14:textId="77777777" w:rsidTr="00FD3F30">
        <w:tc>
          <w:tcPr>
            <w:tcW w:w="675" w:type="dxa"/>
          </w:tcPr>
          <w:p w14:paraId="71DDEEB9" w14:textId="2652D025" w:rsidR="006465BA" w:rsidRDefault="006465BA" w:rsidP="00087E07">
            <w:r>
              <w:t>8.</w:t>
            </w:r>
          </w:p>
        </w:tc>
        <w:tc>
          <w:tcPr>
            <w:tcW w:w="8364" w:type="dxa"/>
          </w:tcPr>
          <w:p w14:paraId="6A1C24D8" w14:textId="672B99F7" w:rsidR="006465BA" w:rsidRDefault="006465BA" w:rsidP="00087E07">
            <w:r>
              <w:t>Percentage of staff personally experiencing discrimination at work from a manager/team leader or other colleagues</w:t>
            </w:r>
          </w:p>
        </w:tc>
      </w:tr>
      <w:tr w:rsidR="006465BA" w14:paraId="54E11303" w14:textId="77777777" w:rsidTr="00FD3F30">
        <w:tc>
          <w:tcPr>
            <w:tcW w:w="9039" w:type="dxa"/>
            <w:gridSpan w:val="2"/>
            <w:shd w:val="clear" w:color="auto" w:fill="00B0F0"/>
          </w:tcPr>
          <w:p w14:paraId="36EA4836" w14:textId="273EB8C6" w:rsidR="006465BA" w:rsidRDefault="006465BA" w:rsidP="006465BA">
            <w:r>
              <w:t>Data from ESR</w:t>
            </w:r>
          </w:p>
        </w:tc>
      </w:tr>
      <w:tr w:rsidR="006465BA" w14:paraId="274166B7" w14:textId="77777777" w:rsidTr="00FD3F30">
        <w:tc>
          <w:tcPr>
            <w:tcW w:w="675" w:type="dxa"/>
          </w:tcPr>
          <w:p w14:paraId="0304A99D" w14:textId="3BFEB40C" w:rsidR="006465BA" w:rsidRDefault="006465BA" w:rsidP="006465BA">
            <w:r>
              <w:t>9.</w:t>
            </w:r>
          </w:p>
        </w:tc>
        <w:tc>
          <w:tcPr>
            <w:tcW w:w="8364" w:type="dxa"/>
          </w:tcPr>
          <w:p w14:paraId="64EB9A0A" w14:textId="7F216BAE" w:rsidR="006465BA" w:rsidRDefault="006465BA" w:rsidP="006465BA">
            <w:r>
              <w:t>BAME board membership</w:t>
            </w:r>
          </w:p>
        </w:tc>
      </w:tr>
    </w:tbl>
    <w:p w14:paraId="23E4DE6E" w14:textId="081B4842" w:rsidR="00CD7917" w:rsidRPr="00CD7917" w:rsidRDefault="00CD7917" w:rsidP="00087E07">
      <w:pPr>
        <w:rPr>
          <w:color w:val="808080" w:themeColor="background1" w:themeShade="80"/>
          <w:sz w:val="16"/>
          <w:szCs w:val="16"/>
        </w:rPr>
      </w:pPr>
      <w:r>
        <w:rPr>
          <w:color w:val="808080" w:themeColor="background1" w:themeShade="80"/>
          <w:sz w:val="16"/>
          <w:szCs w:val="16"/>
        </w:rPr>
        <w:t>Table 1 WRES Indicators</w:t>
      </w:r>
    </w:p>
    <w:p w14:paraId="25595AD3" w14:textId="3CB88330" w:rsidR="00771172" w:rsidRDefault="000C78AB" w:rsidP="00087E07">
      <w:r>
        <w:t xml:space="preserve">The data required for submission is for </w:t>
      </w:r>
      <w:r w:rsidRPr="0039583F">
        <w:rPr>
          <w:i/>
          <w:iCs/>
        </w:rPr>
        <w:t>substantive</w:t>
      </w:r>
      <w:r>
        <w:t xml:space="preserve"> staff only</w:t>
      </w:r>
      <w:r w:rsidR="006A3214">
        <w:t xml:space="preserve"> is from 1</w:t>
      </w:r>
      <w:r w:rsidR="006A3214" w:rsidRPr="006A3214">
        <w:rPr>
          <w:vertAlign w:val="superscript"/>
        </w:rPr>
        <w:t>st</w:t>
      </w:r>
      <w:r w:rsidR="006A3214">
        <w:t xml:space="preserve"> April 2020</w:t>
      </w:r>
      <w:r w:rsidR="003909F8">
        <w:t xml:space="preserve"> - </w:t>
      </w:r>
      <w:r w:rsidR="0039583F">
        <w:t>31</w:t>
      </w:r>
      <w:r w:rsidR="0039583F" w:rsidRPr="0039583F">
        <w:rPr>
          <w:vertAlign w:val="superscript"/>
        </w:rPr>
        <w:t>st</w:t>
      </w:r>
      <w:r w:rsidR="0039583F">
        <w:t xml:space="preserve"> March 2021.</w:t>
      </w:r>
      <w:r w:rsidR="00771172">
        <w:t xml:space="preserve">  All the information from ESR is correct as for 31</w:t>
      </w:r>
      <w:r w:rsidR="00771172" w:rsidRPr="00771172">
        <w:rPr>
          <w:vertAlign w:val="superscript"/>
        </w:rPr>
        <w:t>st</w:t>
      </w:r>
      <w:r w:rsidR="00771172">
        <w:t xml:space="preserve"> March 2021.</w:t>
      </w:r>
    </w:p>
    <w:p w14:paraId="167B8DC6" w14:textId="72AD12A9" w:rsidR="00DA6E3A" w:rsidRDefault="00DA6E3A" w:rsidP="00F40BFA">
      <w:pPr>
        <w:rPr>
          <w:b/>
          <w:noProof/>
          <w:color w:val="AE2573"/>
          <w:sz w:val="28"/>
          <w:szCs w:val="28"/>
        </w:rPr>
      </w:pPr>
      <w:r>
        <w:rPr>
          <w:b/>
          <w:noProof/>
          <w:color w:val="AE2573"/>
          <w:sz w:val="28"/>
          <w:szCs w:val="28"/>
        </w:rPr>
        <w:t>2. Key findings</w:t>
      </w:r>
    </w:p>
    <w:p w14:paraId="11480827" w14:textId="6F5F4233" w:rsidR="00F40BFA" w:rsidRDefault="00DA6E3A" w:rsidP="00F40BFA">
      <w:pPr>
        <w:rPr>
          <w:b/>
          <w:noProof/>
          <w:color w:val="AE2573"/>
        </w:rPr>
      </w:pPr>
      <w:r w:rsidRPr="00DA6E3A">
        <w:rPr>
          <w:b/>
          <w:noProof/>
          <w:color w:val="AE2573"/>
        </w:rPr>
        <w:t>Indicator 1</w:t>
      </w:r>
    </w:p>
    <w:p w14:paraId="347B8ED9" w14:textId="37AE4B6E" w:rsidR="00DA6E3A" w:rsidRDefault="00736D01" w:rsidP="00F40BFA">
      <w:pPr>
        <w:rPr>
          <w:bCs/>
          <w:noProof/>
          <w:color w:val="000000" w:themeColor="text1"/>
        </w:rPr>
      </w:pPr>
      <w:r>
        <w:rPr>
          <w:bCs/>
          <w:noProof/>
          <w:color w:val="000000" w:themeColor="text1"/>
        </w:rPr>
        <w:t>As of 31</w:t>
      </w:r>
      <w:r w:rsidRPr="00736D01">
        <w:rPr>
          <w:bCs/>
          <w:noProof/>
          <w:color w:val="000000" w:themeColor="text1"/>
          <w:vertAlign w:val="superscript"/>
        </w:rPr>
        <w:t>st</w:t>
      </w:r>
      <w:r>
        <w:rPr>
          <w:bCs/>
          <w:noProof/>
          <w:color w:val="000000" w:themeColor="text1"/>
        </w:rPr>
        <w:t xml:space="preserve"> March 2021 there were </w:t>
      </w:r>
      <w:r w:rsidR="00863D13">
        <w:rPr>
          <w:bCs/>
          <w:noProof/>
          <w:color w:val="000000" w:themeColor="text1"/>
        </w:rPr>
        <w:t>3</w:t>
      </w:r>
      <w:r w:rsidR="0018601B">
        <w:rPr>
          <w:bCs/>
          <w:noProof/>
          <w:color w:val="000000" w:themeColor="text1"/>
        </w:rPr>
        <w:t>,</w:t>
      </w:r>
      <w:r w:rsidR="00863D13">
        <w:rPr>
          <w:bCs/>
          <w:noProof/>
          <w:color w:val="000000" w:themeColor="text1"/>
        </w:rPr>
        <w:t>930 substanti</w:t>
      </w:r>
      <w:r w:rsidR="009279D4">
        <w:rPr>
          <w:bCs/>
          <w:noProof/>
          <w:color w:val="000000" w:themeColor="text1"/>
        </w:rPr>
        <w:t>v</w:t>
      </w:r>
      <w:r w:rsidR="00863D13">
        <w:rPr>
          <w:bCs/>
          <w:noProof/>
          <w:color w:val="000000" w:themeColor="text1"/>
        </w:rPr>
        <w:t>e staff employed at Solent.</w:t>
      </w:r>
    </w:p>
    <w:p w14:paraId="48B95095" w14:textId="77777777" w:rsidR="004C2F0A" w:rsidRDefault="004C2F0A" w:rsidP="00F40BFA">
      <w:pPr>
        <w:rPr>
          <w:bCs/>
          <w:noProof/>
          <w:color w:val="000000" w:themeColor="text1"/>
        </w:rPr>
      </w:pPr>
    </w:p>
    <w:tbl>
      <w:tblPr>
        <w:tblStyle w:val="TableGrid"/>
        <w:tblW w:w="0" w:type="auto"/>
        <w:tblLook w:val="04A0" w:firstRow="1" w:lastRow="0" w:firstColumn="1" w:lastColumn="0" w:noHBand="0" w:noVBand="1"/>
      </w:tblPr>
      <w:tblGrid>
        <w:gridCol w:w="1499"/>
        <w:gridCol w:w="1489"/>
        <w:gridCol w:w="1563"/>
        <w:gridCol w:w="1496"/>
        <w:gridCol w:w="1489"/>
        <w:gridCol w:w="1480"/>
      </w:tblGrid>
      <w:tr w:rsidR="00F0089B" w:rsidRPr="00531D16" w14:paraId="79D950BC" w14:textId="77777777" w:rsidTr="00153848">
        <w:tc>
          <w:tcPr>
            <w:tcW w:w="5268" w:type="dxa"/>
            <w:gridSpan w:val="3"/>
            <w:shd w:val="clear" w:color="auto" w:fill="00B0F0"/>
          </w:tcPr>
          <w:p w14:paraId="597A598C" w14:textId="26A594F6" w:rsidR="00F0089B" w:rsidRPr="00531D16" w:rsidRDefault="00F0089B" w:rsidP="00E104D7">
            <w:pPr>
              <w:jc w:val="center"/>
              <w:rPr>
                <w:b/>
                <w:bCs/>
                <w:noProof/>
                <w:lang w:eastAsia="en-GB"/>
              </w:rPr>
            </w:pPr>
            <w:r w:rsidRPr="00531D16">
              <w:rPr>
                <w:b/>
                <w:bCs/>
                <w:noProof/>
                <w:lang w:eastAsia="en-GB"/>
              </w:rPr>
              <w:t>20</w:t>
            </w:r>
            <w:r>
              <w:rPr>
                <w:b/>
                <w:bCs/>
                <w:noProof/>
                <w:lang w:eastAsia="en-GB"/>
              </w:rPr>
              <w:t>20</w:t>
            </w:r>
          </w:p>
        </w:tc>
        <w:tc>
          <w:tcPr>
            <w:tcW w:w="5152" w:type="dxa"/>
            <w:gridSpan w:val="3"/>
            <w:shd w:val="clear" w:color="auto" w:fill="00B0F0"/>
          </w:tcPr>
          <w:p w14:paraId="45CA3829" w14:textId="6D849C2A" w:rsidR="00F0089B" w:rsidRPr="00531D16" w:rsidRDefault="00F0089B" w:rsidP="00E104D7">
            <w:pPr>
              <w:jc w:val="center"/>
              <w:rPr>
                <w:b/>
                <w:bCs/>
                <w:noProof/>
                <w:lang w:eastAsia="en-GB"/>
              </w:rPr>
            </w:pPr>
            <w:r w:rsidRPr="00531D16">
              <w:rPr>
                <w:b/>
                <w:bCs/>
                <w:noProof/>
                <w:lang w:eastAsia="en-GB"/>
              </w:rPr>
              <w:t>202</w:t>
            </w:r>
            <w:r w:rsidR="00E07EC4">
              <w:rPr>
                <w:b/>
                <w:bCs/>
                <w:noProof/>
                <w:lang w:eastAsia="en-GB"/>
              </w:rPr>
              <w:t>1</w:t>
            </w:r>
          </w:p>
        </w:tc>
      </w:tr>
      <w:tr w:rsidR="001B017E" w:rsidRPr="00531D16" w14:paraId="006ECACC" w14:textId="77777777" w:rsidTr="00153848">
        <w:tc>
          <w:tcPr>
            <w:tcW w:w="1766" w:type="dxa"/>
            <w:shd w:val="clear" w:color="auto" w:fill="00B0F0"/>
          </w:tcPr>
          <w:p w14:paraId="20FB4651" w14:textId="77777777" w:rsidR="00F0089B" w:rsidRPr="00531D16" w:rsidRDefault="00F0089B" w:rsidP="00E104D7">
            <w:pPr>
              <w:jc w:val="center"/>
              <w:rPr>
                <w:b/>
                <w:bCs/>
                <w:noProof/>
                <w:lang w:eastAsia="en-GB"/>
              </w:rPr>
            </w:pPr>
            <w:r w:rsidRPr="00531D16">
              <w:rPr>
                <w:b/>
                <w:bCs/>
                <w:noProof/>
                <w:lang w:eastAsia="en-GB"/>
              </w:rPr>
              <w:t>White staff</w:t>
            </w:r>
          </w:p>
        </w:tc>
        <w:tc>
          <w:tcPr>
            <w:tcW w:w="1763" w:type="dxa"/>
            <w:shd w:val="clear" w:color="auto" w:fill="00B0F0"/>
          </w:tcPr>
          <w:p w14:paraId="62C55B61" w14:textId="77777777" w:rsidR="00F0089B" w:rsidRPr="00531D16" w:rsidRDefault="00F0089B" w:rsidP="00E104D7">
            <w:pPr>
              <w:jc w:val="center"/>
              <w:rPr>
                <w:b/>
                <w:bCs/>
                <w:noProof/>
                <w:lang w:eastAsia="en-GB"/>
              </w:rPr>
            </w:pPr>
            <w:r w:rsidRPr="00531D16">
              <w:rPr>
                <w:b/>
                <w:bCs/>
                <w:noProof/>
                <w:lang w:eastAsia="en-GB"/>
              </w:rPr>
              <w:t>BAME staff</w:t>
            </w:r>
          </w:p>
        </w:tc>
        <w:tc>
          <w:tcPr>
            <w:tcW w:w="1739" w:type="dxa"/>
            <w:shd w:val="clear" w:color="auto" w:fill="00B0F0"/>
          </w:tcPr>
          <w:p w14:paraId="484F7CCB" w14:textId="77777777" w:rsidR="00F0089B" w:rsidRPr="00531D16" w:rsidRDefault="00F0089B" w:rsidP="00E104D7">
            <w:pPr>
              <w:jc w:val="center"/>
              <w:rPr>
                <w:b/>
                <w:bCs/>
                <w:noProof/>
                <w:lang w:eastAsia="en-GB"/>
              </w:rPr>
            </w:pPr>
            <w:r w:rsidRPr="00531D16">
              <w:rPr>
                <w:b/>
                <w:bCs/>
                <w:noProof/>
                <w:lang w:eastAsia="en-GB"/>
              </w:rPr>
              <w:t>Ethnicity Unknown</w:t>
            </w:r>
          </w:p>
        </w:tc>
        <w:tc>
          <w:tcPr>
            <w:tcW w:w="1764" w:type="dxa"/>
            <w:shd w:val="clear" w:color="auto" w:fill="00B0F0"/>
          </w:tcPr>
          <w:p w14:paraId="2C734872" w14:textId="77777777" w:rsidR="00F0089B" w:rsidRPr="00531D16" w:rsidRDefault="00F0089B" w:rsidP="00E104D7">
            <w:pPr>
              <w:jc w:val="center"/>
              <w:rPr>
                <w:b/>
                <w:bCs/>
                <w:noProof/>
                <w:lang w:eastAsia="en-GB"/>
              </w:rPr>
            </w:pPr>
            <w:r w:rsidRPr="00531D16">
              <w:rPr>
                <w:b/>
                <w:bCs/>
                <w:noProof/>
                <w:lang w:eastAsia="en-GB"/>
              </w:rPr>
              <w:t>White staff</w:t>
            </w:r>
          </w:p>
        </w:tc>
        <w:tc>
          <w:tcPr>
            <w:tcW w:w="1763" w:type="dxa"/>
            <w:shd w:val="clear" w:color="auto" w:fill="00B0F0"/>
          </w:tcPr>
          <w:p w14:paraId="5DAF08F1" w14:textId="77777777" w:rsidR="00F0089B" w:rsidRPr="00531D16" w:rsidRDefault="00F0089B" w:rsidP="00E104D7">
            <w:pPr>
              <w:jc w:val="center"/>
              <w:rPr>
                <w:b/>
                <w:bCs/>
                <w:noProof/>
                <w:lang w:eastAsia="en-GB"/>
              </w:rPr>
            </w:pPr>
            <w:r w:rsidRPr="00531D16">
              <w:rPr>
                <w:b/>
                <w:bCs/>
                <w:noProof/>
                <w:lang w:eastAsia="en-GB"/>
              </w:rPr>
              <w:t>BAME staff</w:t>
            </w:r>
          </w:p>
        </w:tc>
        <w:tc>
          <w:tcPr>
            <w:tcW w:w="1625" w:type="dxa"/>
            <w:shd w:val="clear" w:color="auto" w:fill="00B0F0"/>
          </w:tcPr>
          <w:p w14:paraId="1EF6E2FD" w14:textId="77777777" w:rsidR="00F0089B" w:rsidRPr="00531D16" w:rsidRDefault="00F0089B" w:rsidP="00E104D7">
            <w:pPr>
              <w:jc w:val="center"/>
              <w:rPr>
                <w:b/>
                <w:bCs/>
                <w:noProof/>
                <w:lang w:eastAsia="en-GB"/>
              </w:rPr>
            </w:pPr>
            <w:r w:rsidRPr="00531D16">
              <w:rPr>
                <w:b/>
                <w:bCs/>
                <w:noProof/>
                <w:lang w:eastAsia="en-GB"/>
              </w:rPr>
              <w:t>Ethnicity Unknown</w:t>
            </w:r>
          </w:p>
        </w:tc>
      </w:tr>
      <w:tr w:rsidR="001B017E" w14:paraId="6F5FD9F5" w14:textId="77777777" w:rsidTr="00E104D7">
        <w:tc>
          <w:tcPr>
            <w:tcW w:w="1766" w:type="dxa"/>
          </w:tcPr>
          <w:p w14:paraId="3566A124" w14:textId="3A236672" w:rsidR="00F0089B" w:rsidRDefault="00F0089B" w:rsidP="00E104D7">
            <w:pPr>
              <w:jc w:val="center"/>
              <w:rPr>
                <w:noProof/>
                <w:lang w:eastAsia="en-GB"/>
              </w:rPr>
            </w:pPr>
            <w:r>
              <w:rPr>
                <w:noProof/>
                <w:lang w:eastAsia="en-GB"/>
              </w:rPr>
              <w:t>91%</w:t>
            </w:r>
            <w:r w:rsidR="0096505F">
              <w:rPr>
                <w:noProof/>
                <w:lang w:eastAsia="en-GB"/>
              </w:rPr>
              <w:t xml:space="preserve"> (3274)</w:t>
            </w:r>
          </w:p>
        </w:tc>
        <w:tc>
          <w:tcPr>
            <w:tcW w:w="1763" w:type="dxa"/>
          </w:tcPr>
          <w:p w14:paraId="3D40C24A" w14:textId="2F205F47" w:rsidR="00F0089B" w:rsidRDefault="00F0089B" w:rsidP="00E104D7">
            <w:pPr>
              <w:jc w:val="center"/>
              <w:rPr>
                <w:noProof/>
                <w:lang w:eastAsia="en-GB"/>
              </w:rPr>
            </w:pPr>
            <w:r>
              <w:rPr>
                <w:noProof/>
                <w:lang w:eastAsia="en-GB"/>
              </w:rPr>
              <w:t>8%</w:t>
            </w:r>
            <w:r w:rsidR="0096505F">
              <w:rPr>
                <w:noProof/>
                <w:lang w:eastAsia="en-GB"/>
              </w:rPr>
              <w:t xml:space="preserve"> (335)</w:t>
            </w:r>
          </w:p>
        </w:tc>
        <w:tc>
          <w:tcPr>
            <w:tcW w:w="1739" w:type="dxa"/>
          </w:tcPr>
          <w:p w14:paraId="786A5883" w14:textId="010A40C9" w:rsidR="00F0089B" w:rsidRDefault="00F0089B" w:rsidP="00E104D7">
            <w:pPr>
              <w:jc w:val="center"/>
              <w:rPr>
                <w:noProof/>
                <w:lang w:eastAsia="en-GB"/>
              </w:rPr>
            </w:pPr>
            <w:r>
              <w:rPr>
                <w:noProof/>
                <w:lang w:eastAsia="en-GB"/>
              </w:rPr>
              <w:t>0.9%</w:t>
            </w:r>
            <w:r w:rsidR="0096505F">
              <w:rPr>
                <w:noProof/>
                <w:lang w:eastAsia="en-GB"/>
              </w:rPr>
              <w:t xml:space="preserve"> (29)</w:t>
            </w:r>
          </w:p>
        </w:tc>
        <w:tc>
          <w:tcPr>
            <w:tcW w:w="1764" w:type="dxa"/>
          </w:tcPr>
          <w:p w14:paraId="22D28C4F" w14:textId="05EE4D10" w:rsidR="00F0089B" w:rsidRDefault="00E07EC4" w:rsidP="00E104D7">
            <w:pPr>
              <w:jc w:val="center"/>
              <w:rPr>
                <w:noProof/>
                <w:lang w:eastAsia="en-GB"/>
              </w:rPr>
            </w:pPr>
            <w:r>
              <w:rPr>
                <w:noProof/>
                <w:lang w:eastAsia="en-GB"/>
              </w:rPr>
              <w:t xml:space="preserve"> </w:t>
            </w:r>
            <w:r w:rsidR="00F90AE7">
              <w:rPr>
                <w:noProof/>
                <w:lang w:eastAsia="en-GB"/>
              </w:rPr>
              <w:t xml:space="preserve">88.9% </w:t>
            </w:r>
            <w:r>
              <w:rPr>
                <w:noProof/>
                <w:lang w:eastAsia="en-GB"/>
              </w:rPr>
              <w:t>(3531)</w:t>
            </w:r>
          </w:p>
        </w:tc>
        <w:tc>
          <w:tcPr>
            <w:tcW w:w="1763" w:type="dxa"/>
          </w:tcPr>
          <w:p w14:paraId="025D69C7" w14:textId="5F22893E" w:rsidR="00F0089B" w:rsidRDefault="001B017E" w:rsidP="00E104D7">
            <w:pPr>
              <w:jc w:val="center"/>
              <w:rPr>
                <w:noProof/>
                <w:lang w:eastAsia="en-GB"/>
              </w:rPr>
            </w:pPr>
            <w:r>
              <w:rPr>
                <w:noProof/>
                <w:lang w:eastAsia="en-GB"/>
              </w:rPr>
              <w:t xml:space="preserve">10.2% </w:t>
            </w:r>
            <w:r w:rsidR="00165DC2">
              <w:rPr>
                <w:noProof/>
                <w:lang w:eastAsia="en-GB"/>
              </w:rPr>
              <w:t>(364)</w:t>
            </w:r>
          </w:p>
        </w:tc>
        <w:tc>
          <w:tcPr>
            <w:tcW w:w="1625" w:type="dxa"/>
          </w:tcPr>
          <w:p w14:paraId="54AF97D0" w14:textId="73385310" w:rsidR="00F0089B" w:rsidRDefault="001B017E" w:rsidP="00E104D7">
            <w:pPr>
              <w:jc w:val="center"/>
              <w:rPr>
                <w:noProof/>
                <w:lang w:eastAsia="en-GB"/>
              </w:rPr>
            </w:pPr>
            <w:r>
              <w:rPr>
                <w:noProof/>
                <w:lang w:eastAsia="en-GB"/>
              </w:rPr>
              <w:t xml:space="preserve">0.9% </w:t>
            </w:r>
            <w:r w:rsidR="00165DC2">
              <w:rPr>
                <w:noProof/>
                <w:lang w:eastAsia="en-GB"/>
              </w:rPr>
              <w:t>(</w:t>
            </w:r>
            <w:r w:rsidR="00E07EC4">
              <w:rPr>
                <w:noProof/>
                <w:lang w:eastAsia="en-GB"/>
              </w:rPr>
              <w:t>35</w:t>
            </w:r>
            <w:r w:rsidR="00165DC2">
              <w:rPr>
                <w:noProof/>
                <w:lang w:eastAsia="en-GB"/>
              </w:rPr>
              <w:t>)</w:t>
            </w:r>
          </w:p>
        </w:tc>
      </w:tr>
    </w:tbl>
    <w:p w14:paraId="2E99B325" w14:textId="1DB4C020" w:rsidR="00F0089B" w:rsidRPr="00D26F4B" w:rsidRDefault="00D26F4B" w:rsidP="00F40BFA">
      <w:pPr>
        <w:rPr>
          <w:bCs/>
          <w:noProof/>
          <w:color w:val="808080" w:themeColor="background1" w:themeShade="80"/>
          <w:sz w:val="16"/>
          <w:szCs w:val="16"/>
        </w:rPr>
      </w:pPr>
      <w:r w:rsidRPr="00D26F4B">
        <w:rPr>
          <w:bCs/>
          <w:noProof/>
          <w:color w:val="808080" w:themeColor="background1" w:themeShade="80"/>
          <w:sz w:val="16"/>
          <w:szCs w:val="16"/>
        </w:rPr>
        <w:t xml:space="preserve">Table 2 Ethnicity of staff </w:t>
      </w:r>
    </w:p>
    <w:p w14:paraId="1D3C431E" w14:textId="689EA9E2" w:rsidR="00D26F4B" w:rsidRDefault="002A78F3" w:rsidP="00087E07">
      <w:pPr>
        <w:rPr>
          <w:bCs/>
          <w:noProof/>
          <w:color w:val="808080" w:themeColor="background1" w:themeShade="80"/>
          <w:sz w:val="16"/>
          <w:szCs w:val="16"/>
        </w:rPr>
      </w:pPr>
      <w:r>
        <w:rPr>
          <w:bCs/>
          <w:noProof/>
          <w:color w:val="000000" w:themeColor="text1"/>
        </w:rPr>
        <w:drawing>
          <wp:inline distT="0" distB="0" distL="0" distR="0" wp14:anchorId="2907C0E4" wp14:editId="6D834617">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26F4B" w:rsidRPr="00E0405B">
        <w:rPr>
          <w:bCs/>
          <w:noProof/>
          <w:color w:val="808080" w:themeColor="background1" w:themeShade="80"/>
          <w:sz w:val="16"/>
          <w:szCs w:val="16"/>
        </w:rPr>
        <w:t>Graph 1 Ethnicity of workforce</w:t>
      </w:r>
    </w:p>
    <w:p w14:paraId="29E8209D" w14:textId="4937F4E3" w:rsidR="00DE6516" w:rsidRDefault="00DE6516" w:rsidP="00087E07">
      <w:pPr>
        <w:rPr>
          <w:bCs/>
          <w:noProof/>
          <w:color w:val="808080" w:themeColor="background1" w:themeShade="80"/>
          <w:sz w:val="16"/>
          <w:szCs w:val="16"/>
        </w:rPr>
      </w:pPr>
    </w:p>
    <w:p w14:paraId="02BA77BE" w14:textId="77777777" w:rsidR="00DE6516" w:rsidRPr="00E0405B" w:rsidRDefault="00DE6516" w:rsidP="00087E07">
      <w:pPr>
        <w:rPr>
          <w:bCs/>
          <w:noProof/>
          <w:color w:val="000000" w:themeColor="text1"/>
        </w:rPr>
      </w:pPr>
    </w:p>
    <w:p w14:paraId="5A6E87E7" w14:textId="77777777" w:rsidR="004822BF" w:rsidRDefault="004822BF" w:rsidP="00087E07"/>
    <w:tbl>
      <w:tblPr>
        <w:tblStyle w:val="TableGrid"/>
        <w:tblW w:w="0" w:type="auto"/>
        <w:tblLook w:val="04A0" w:firstRow="1" w:lastRow="0" w:firstColumn="1" w:lastColumn="0" w:noHBand="0" w:noVBand="1"/>
      </w:tblPr>
      <w:tblGrid>
        <w:gridCol w:w="3002"/>
        <w:gridCol w:w="3007"/>
        <w:gridCol w:w="3007"/>
      </w:tblGrid>
      <w:tr w:rsidR="001F4393" w14:paraId="6B0A3108" w14:textId="77777777" w:rsidTr="004822BF">
        <w:tc>
          <w:tcPr>
            <w:tcW w:w="9242" w:type="dxa"/>
            <w:gridSpan w:val="3"/>
            <w:shd w:val="clear" w:color="auto" w:fill="00B0F0"/>
          </w:tcPr>
          <w:p w14:paraId="4529AE22" w14:textId="4B9582FF" w:rsidR="001F4393" w:rsidRPr="004822BF" w:rsidRDefault="004822BF" w:rsidP="00087E07">
            <w:pPr>
              <w:rPr>
                <w:b/>
                <w:bCs/>
              </w:rPr>
            </w:pPr>
            <w:r w:rsidRPr="004822BF">
              <w:rPr>
                <w:b/>
                <w:bCs/>
              </w:rPr>
              <w:t>Non-clinical workforce</w:t>
            </w:r>
          </w:p>
        </w:tc>
      </w:tr>
      <w:tr w:rsidR="007D38C4" w14:paraId="5938D2D6" w14:textId="77777777" w:rsidTr="004822BF">
        <w:tc>
          <w:tcPr>
            <w:tcW w:w="3080" w:type="dxa"/>
            <w:shd w:val="clear" w:color="auto" w:fill="808080" w:themeFill="background1" w:themeFillShade="80"/>
          </w:tcPr>
          <w:p w14:paraId="57F2C794" w14:textId="15C45EE5" w:rsidR="007D38C4" w:rsidRPr="004822BF" w:rsidRDefault="007D38C4" w:rsidP="00087E07">
            <w:pPr>
              <w:rPr>
                <w:b/>
                <w:bCs/>
              </w:rPr>
            </w:pPr>
          </w:p>
        </w:tc>
        <w:tc>
          <w:tcPr>
            <w:tcW w:w="3081" w:type="dxa"/>
            <w:shd w:val="clear" w:color="auto" w:fill="00B0F0"/>
          </w:tcPr>
          <w:p w14:paraId="17DF6BC9" w14:textId="6392E768" w:rsidR="007D38C4" w:rsidRPr="004822BF" w:rsidRDefault="00A76955" w:rsidP="00087E07">
            <w:pPr>
              <w:rPr>
                <w:b/>
                <w:bCs/>
              </w:rPr>
            </w:pPr>
            <w:r w:rsidRPr="004822BF">
              <w:rPr>
                <w:b/>
                <w:bCs/>
              </w:rPr>
              <w:t>White</w:t>
            </w:r>
          </w:p>
        </w:tc>
        <w:tc>
          <w:tcPr>
            <w:tcW w:w="3081" w:type="dxa"/>
            <w:shd w:val="clear" w:color="auto" w:fill="00B0F0"/>
          </w:tcPr>
          <w:p w14:paraId="7136AA86" w14:textId="6B483789" w:rsidR="007D38C4" w:rsidRPr="004822BF" w:rsidRDefault="00A76955" w:rsidP="00087E07">
            <w:pPr>
              <w:rPr>
                <w:b/>
                <w:bCs/>
              </w:rPr>
            </w:pPr>
            <w:r w:rsidRPr="004822BF">
              <w:rPr>
                <w:b/>
                <w:bCs/>
              </w:rPr>
              <w:t>BAME</w:t>
            </w:r>
          </w:p>
        </w:tc>
      </w:tr>
      <w:tr w:rsidR="007D38C4" w14:paraId="70CF8D7B" w14:textId="77777777" w:rsidTr="007D38C4">
        <w:tc>
          <w:tcPr>
            <w:tcW w:w="3080" w:type="dxa"/>
          </w:tcPr>
          <w:p w14:paraId="73FD34D4" w14:textId="1899B5C6" w:rsidR="007D38C4" w:rsidRDefault="00A76955" w:rsidP="00087E07">
            <w:r>
              <w:t>Band 1</w:t>
            </w:r>
          </w:p>
        </w:tc>
        <w:tc>
          <w:tcPr>
            <w:tcW w:w="3081" w:type="dxa"/>
          </w:tcPr>
          <w:p w14:paraId="53E0A818" w14:textId="6AE9C47C" w:rsidR="007D38C4" w:rsidRDefault="0074403F" w:rsidP="00087E07">
            <w:r>
              <w:t>11</w:t>
            </w:r>
          </w:p>
        </w:tc>
        <w:tc>
          <w:tcPr>
            <w:tcW w:w="3081" w:type="dxa"/>
          </w:tcPr>
          <w:p w14:paraId="6C9D7CF4" w14:textId="6D24557B" w:rsidR="007D38C4" w:rsidRDefault="00A35FBA" w:rsidP="00087E07">
            <w:r>
              <w:t>1</w:t>
            </w:r>
          </w:p>
        </w:tc>
      </w:tr>
      <w:tr w:rsidR="007D38C4" w14:paraId="2F00D6B2" w14:textId="77777777" w:rsidTr="007D38C4">
        <w:tc>
          <w:tcPr>
            <w:tcW w:w="3080" w:type="dxa"/>
          </w:tcPr>
          <w:p w14:paraId="657396CD" w14:textId="6E06B75C" w:rsidR="007D38C4" w:rsidRDefault="00A76955" w:rsidP="00087E07">
            <w:r>
              <w:t>Band 2</w:t>
            </w:r>
          </w:p>
        </w:tc>
        <w:tc>
          <w:tcPr>
            <w:tcW w:w="3081" w:type="dxa"/>
          </w:tcPr>
          <w:p w14:paraId="1E6D1EB3" w14:textId="7F16FC26" w:rsidR="007D38C4" w:rsidRDefault="0074403F" w:rsidP="00087E07">
            <w:r>
              <w:t>277</w:t>
            </w:r>
          </w:p>
        </w:tc>
        <w:tc>
          <w:tcPr>
            <w:tcW w:w="3081" w:type="dxa"/>
          </w:tcPr>
          <w:p w14:paraId="5B3F85E7" w14:textId="0C920788" w:rsidR="007D38C4" w:rsidRDefault="00A35FBA" w:rsidP="00087E07">
            <w:r>
              <w:t>37</w:t>
            </w:r>
          </w:p>
        </w:tc>
      </w:tr>
      <w:tr w:rsidR="007D38C4" w14:paraId="4ADABDB7" w14:textId="77777777" w:rsidTr="007D38C4">
        <w:tc>
          <w:tcPr>
            <w:tcW w:w="3080" w:type="dxa"/>
          </w:tcPr>
          <w:p w14:paraId="4E393418" w14:textId="700178FE" w:rsidR="007D38C4" w:rsidRDefault="00A76955" w:rsidP="00087E07">
            <w:r>
              <w:t>Band 3</w:t>
            </w:r>
          </w:p>
        </w:tc>
        <w:tc>
          <w:tcPr>
            <w:tcW w:w="3081" w:type="dxa"/>
          </w:tcPr>
          <w:p w14:paraId="039056DD" w14:textId="47666EC7" w:rsidR="007D38C4" w:rsidRDefault="0074403F" w:rsidP="00087E07">
            <w:r>
              <w:t>337</w:t>
            </w:r>
          </w:p>
        </w:tc>
        <w:tc>
          <w:tcPr>
            <w:tcW w:w="3081" w:type="dxa"/>
          </w:tcPr>
          <w:p w14:paraId="5360FD1A" w14:textId="47538362" w:rsidR="007D38C4" w:rsidRDefault="00A35FBA" w:rsidP="00087E07">
            <w:r>
              <w:t>21</w:t>
            </w:r>
          </w:p>
        </w:tc>
      </w:tr>
      <w:tr w:rsidR="007D38C4" w14:paraId="23DDACD5" w14:textId="77777777" w:rsidTr="007D38C4">
        <w:tc>
          <w:tcPr>
            <w:tcW w:w="3080" w:type="dxa"/>
          </w:tcPr>
          <w:p w14:paraId="44ACE534" w14:textId="24808409" w:rsidR="007D38C4" w:rsidRDefault="00A76955" w:rsidP="00087E07">
            <w:r>
              <w:t>Band 4</w:t>
            </w:r>
          </w:p>
        </w:tc>
        <w:tc>
          <w:tcPr>
            <w:tcW w:w="3081" w:type="dxa"/>
          </w:tcPr>
          <w:p w14:paraId="37E1DFEC" w14:textId="62C0E647" w:rsidR="007D38C4" w:rsidRDefault="00A35FBA" w:rsidP="00087E07">
            <w:r>
              <w:t>109</w:t>
            </w:r>
          </w:p>
        </w:tc>
        <w:tc>
          <w:tcPr>
            <w:tcW w:w="3081" w:type="dxa"/>
          </w:tcPr>
          <w:p w14:paraId="6F582704" w14:textId="69E4284E" w:rsidR="007D38C4" w:rsidRDefault="00A35FBA" w:rsidP="00087E07">
            <w:r>
              <w:t>5</w:t>
            </w:r>
          </w:p>
        </w:tc>
      </w:tr>
      <w:tr w:rsidR="007D38C4" w14:paraId="13023CB8" w14:textId="77777777" w:rsidTr="007D38C4">
        <w:tc>
          <w:tcPr>
            <w:tcW w:w="3080" w:type="dxa"/>
          </w:tcPr>
          <w:p w14:paraId="0A3C1BE8" w14:textId="61340D35" w:rsidR="007D38C4" w:rsidRDefault="00A76955" w:rsidP="00087E07">
            <w:r>
              <w:t>Band 5</w:t>
            </w:r>
          </w:p>
        </w:tc>
        <w:tc>
          <w:tcPr>
            <w:tcW w:w="3081" w:type="dxa"/>
          </w:tcPr>
          <w:p w14:paraId="3F07536C" w14:textId="48A5273A" w:rsidR="007D38C4" w:rsidRDefault="00A35FBA" w:rsidP="00087E07">
            <w:r>
              <w:t>110</w:t>
            </w:r>
          </w:p>
        </w:tc>
        <w:tc>
          <w:tcPr>
            <w:tcW w:w="3081" w:type="dxa"/>
          </w:tcPr>
          <w:p w14:paraId="17181C4C" w14:textId="70EB3324" w:rsidR="007D38C4" w:rsidRDefault="00A35FBA" w:rsidP="00087E07">
            <w:r>
              <w:t>6</w:t>
            </w:r>
          </w:p>
        </w:tc>
      </w:tr>
      <w:tr w:rsidR="007D38C4" w14:paraId="58836B4B" w14:textId="77777777" w:rsidTr="007D38C4">
        <w:tc>
          <w:tcPr>
            <w:tcW w:w="3080" w:type="dxa"/>
          </w:tcPr>
          <w:p w14:paraId="57E01FA8" w14:textId="486DC811" w:rsidR="007D38C4" w:rsidRDefault="00A76955" w:rsidP="00087E07">
            <w:r>
              <w:t>Band 6</w:t>
            </w:r>
          </w:p>
        </w:tc>
        <w:tc>
          <w:tcPr>
            <w:tcW w:w="3081" w:type="dxa"/>
          </w:tcPr>
          <w:p w14:paraId="4C2B4E71" w14:textId="32BC6263" w:rsidR="007D38C4" w:rsidRDefault="00A35FBA" w:rsidP="00087E07">
            <w:r>
              <w:t>65</w:t>
            </w:r>
          </w:p>
        </w:tc>
        <w:tc>
          <w:tcPr>
            <w:tcW w:w="3081" w:type="dxa"/>
          </w:tcPr>
          <w:p w14:paraId="346D19CC" w14:textId="0A15E11F" w:rsidR="007D38C4" w:rsidRDefault="00A35FBA" w:rsidP="00087E07">
            <w:r>
              <w:t>3</w:t>
            </w:r>
          </w:p>
        </w:tc>
      </w:tr>
      <w:tr w:rsidR="007D38C4" w14:paraId="30DF3872" w14:textId="77777777" w:rsidTr="007D38C4">
        <w:tc>
          <w:tcPr>
            <w:tcW w:w="3080" w:type="dxa"/>
          </w:tcPr>
          <w:p w14:paraId="44B80153" w14:textId="34B081B4" w:rsidR="007D38C4" w:rsidRDefault="00A76955" w:rsidP="00087E07">
            <w:r>
              <w:t>Band 7</w:t>
            </w:r>
          </w:p>
        </w:tc>
        <w:tc>
          <w:tcPr>
            <w:tcW w:w="3081" w:type="dxa"/>
          </w:tcPr>
          <w:p w14:paraId="6217A843" w14:textId="18BF2948" w:rsidR="007D38C4" w:rsidRDefault="00A35FBA" w:rsidP="00087E07">
            <w:r>
              <w:t>64</w:t>
            </w:r>
          </w:p>
        </w:tc>
        <w:tc>
          <w:tcPr>
            <w:tcW w:w="3081" w:type="dxa"/>
          </w:tcPr>
          <w:p w14:paraId="409F0DBF" w14:textId="046A0B40" w:rsidR="007D38C4" w:rsidRDefault="00A35FBA" w:rsidP="00087E07">
            <w:r>
              <w:t>4</w:t>
            </w:r>
          </w:p>
        </w:tc>
      </w:tr>
      <w:tr w:rsidR="00A76955" w14:paraId="43E76065" w14:textId="77777777" w:rsidTr="007D38C4">
        <w:tc>
          <w:tcPr>
            <w:tcW w:w="3080" w:type="dxa"/>
          </w:tcPr>
          <w:p w14:paraId="128984E4" w14:textId="2FC0FFF2" w:rsidR="00A76955" w:rsidRDefault="00A76955" w:rsidP="00087E07">
            <w:r>
              <w:t xml:space="preserve">Band </w:t>
            </w:r>
            <w:r w:rsidR="0074403F">
              <w:t>8a</w:t>
            </w:r>
          </w:p>
        </w:tc>
        <w:tc>
          <w:tcPr>
            <w:tcW w:w="3081" w:type="dxa"/>
          </w:tcPr>
          <w:p w14:paraId="40BBCB43" w14:textId="15F97BC9" w:rsidR="00A76955" w:rsidRDefault="00A35FBA" w:rsidP="00087E07">
            <w:r>
              <w:t>30</w:t>
            </w:r>
          </w:p>
        </w:tc>
        <w:tc>
          <w:tcPr>
            <w:tcW w:w="3081" w:type="dxa"/>
          </w:tcPr>
          <w:p w14:paraId="7F719829" w14:textId="733E576F" w:rsidR="00A76955" w:rsidRDefault="00A35FBA" w:rsidP="00087E07">
            <w:r>
              <w:t>1</w:t>
            </w:r>
          </w:p>
        </w:tc>
      </w:tr>
      <w:tr w:rsidR="00A76955" w14:paraId="40EC003A" w14:textId="77777777" w:rsidTr="007D38C4">
        <w:tc>
          <w:tcPr>
            <w:tcW w:w="3080" w:type="dxa"/>
          </w:tcPr>
          <w:p w14:paraId="553DB38C" w14:textId="7C362DF4" w:rsidR="0074403F" w:rsidRDefault="0074403F" w:rsidP="00087E07">
            <w:r>
              <w:t>Band 8b</w:t>
            </w:r>
          </w:p>
        </w:tc>
        <w:tc>
          <w:tcPr>
            <w:tcW w:w="3081" w:type="dxa"/>
          </w:tcPr>
          <w:p w14:paraId="3B1DD867" w14:textId="0BA46A23" w:rsidR="00A76955" w:rsidRDefault="00A35FBA" w:rsidP="00087E07">
            <w:r>
              <w:t>21</w:t>
            </w:r>
          </w:p>
        </w:tc>
        <w:tc>
          <w:tcPr>
            <w:tcW w:w="3081" w:type="dxa"/>
          </w:tcPr>
          <w:p w14:paraId="0303B965" w14:textId="39AD3E94" w:rsidR="00A76955" w:rsidRDefault="00A35FBA" w:rsidP="00087E07">
            <w:r>
              <w:t>0</w:t>
            </w:r>
          </w:p>
        </w:tc>
      </w:tr>
      <w:tr w:rsidR="00A76955" w14:paraId="30DBE86B" w14:textId="77777777" w:rsidTr="00A76955">
        <w:tc>
          <w:tcPr>
            <w:tcW w:w="3080" w:type="dxa"/>
          </w:tcPr>
          <w:p w14:paraId="24D2C226" w14:textId="06DE9800" w:rsidR="00A76955" w:rsidRDefault="0074403F" w:rsidP="00E104D7">
            <w:r>
              <w:t>Band 8c</w:t>
            </w:r>
          </w:p>
        </w:tc>
        <w:tc>
          <w:tcPr>
            <w:tcW w:w="3081" w:type="dxa"/>
          </w:tcPr>
          <w:p w14:paraId="446EF276" w14:textId="3984AEF4" w:rsidR="00A76955" w:rsidRDefault="00A35FBA" w:rsidP="00E104D7">
            <w:r>
              <w:t>17</w:t>
            </w:r>
          </w:p>
        </w:tc>
        <w:tc>
          <w:tcPr>
            <w:tcW w:w="3081" w:type="dxa"/>
          </w:tcPr>
          <w:p w14:paraId="6F587DB8" w14:textId="28EE4AC9" w:rsidR="00A76955" w:rsidRDefault="001F4393" w:rsidP="00E104D7">
            <w:r>
              <w:t>1</w:t>
            </w:r>
          </w:p>
        </w:tc>
      </w:tr>
      <w:tr w:rsidR="00A76955" w14:paraId="6885CE05" w14:textId="77777777" w:rsidTr="00A76955">
        <w:tc>
          <w:tcPr>
            <w:tcW w:w="3080" w:type="dxa"/>
          </w:tcPr>
          <w:p w14:paraId="7F700BFC" w14:textId="3E6297E7" w:rsidR="00A76955" w:rsidRDefault="0074403F" w:rsidP="00E104D7">
            <w:r>
              <w:t>Band 8d</w:t>
            </w:r>
          </w:p>
        </w:tc>
        <w:tc>
          <w:tcPr>
            <w:tcW w:w="3081" w:type="dxa"/>
          </w:tcPr>
          <w:p w14:paraId="0888CED1" w14:textId="3F5AB869" w:rsidR="00A76955" w:rsidRDefault="00A35FBA" w:rsidP="00E104D7">
            <w:r>
              <w:t>15</w:t>
            </w:r>
          </w:p>
        </w:tc>
        <w:tc>
          <w:tcPr>
            <w:tcW w:w="3081" w:type="dxa"/>
          </w:tcPr>
          <w:p w14:paraId="0372DC9B" w14:textId="58B7DC95" w:rsidR="00A76955" w:rsidRDefault="001F4393" w:rsidP="00E104D7">
            <w:r>
              <w:t>2</w:t>
            </w:r>
          </w:p>
        </w:tc>
      </w:tr>
      <w:tr w:rsidR="00A76955" w14:paraId="7381B5DA" w14:textId="77777777" w:rsidTr="00A76955">
        <w:tc>
          <w:tcPr>
            <w:tcW w:w="3080" w:type="dxa"/>
          </w:tcPr>
          <w:p w14:paraId="4BA76139" w14:textId="37A00B66" w:rsidR="00A76955" w:rsidRDefault="0074403F" w:rsidP="00E104D7">
            <w:r>
              <w:t>Band 9</w:t>
            </w:r>
          </w:p>
        </w:tc>
        <w:tc>
          <w:tcPr>
            <w:tcW w:w="3081" w:type="dxa"/>
          </w:tcPr>
          <w:p w14:paraId="6F499DA6" w14:textId="16616CCA" w:rsidR="00A76955" w:rsidRDefault="00A35FBA" w:rsidP="00E104D7">
            <w:r>
              <w:t>5</w:t>
            </w:r>
          </w:p>
        </w:tc>
        <w:tc>
          <w:tcPr>
            <w:tcW w:w="3081" w:type="dxa"/>
          </w:tcPr>
          <w:p w14:paraId="7631E742" w14:textId="2096189F" w:rsidR="00A76955" w:rsidRDefault="001F4393" w:rsidP="00E104D7">
            <w:r>
              <w:t>1</w:t>
            </w:r>
          </w:p>
        </w:tc>
      </w:tr>
      <w:tr w:rsidR="00A76955" w14:paraId="25A054A1" w14:textId="77777777" w:rsidTr="00A76955">
        <w:tc>
          <w:tcPr>
            <w:tcW w:w="3080" w:type="dxa"/>
          </w:tcPr>
          <w:p w14:paraId="522A552B" w14:textId="74A2A9EC" w:rsidR="00A76955" w:rsidRDefault="0074403F" w:rsidP="00E104D7">
            <w:r>
              <w:t>VSM</w:t>
            </w:r>
          </w:p>
        </w:tc>
        <w:tc>
          <w:tcPr>
            <w:tcW w:w="3081" w:type="dxa"/>
          </w:tcPr>
          <w:p w14:paraId="3D123EE5" w14:textId="3297304A" w:rsidR="00A76955" w:rsidRDefault="00A35FBA" w:rsidP="00E104D7">
            <w:r>
              <w:t>4</w:t>
            </w:r>
          </w:p>
        </w:tc>
        <w:tc>
          <w:tcPr>
            <w:tcW w:w="3081" w:type="dxa"/>
          </w:tcPr>
          <w:p w14:paraId="00039CBB" w14:textId="393B5318" w:rsidR="00A76955" w:rsidRDefault="001F4393" w:rsidP="00E104D7">
            <w:r>
              <w:t>0</w:t>
            </w:r>
          </w:p>
        </w:tc>
      </w:tr>
    </w:tbl>
    <w:p w14:paraId="071A21FC" w14:textId="4D5F87FC" w:rsidR="00892615" w:rsidRPr="00E0405B" w:rsidRDefault="00D26F4B" w:rsidP="00087E07">
      <w:pPr>
        <w:rPr>
          <w:sz w:val="16"/>
          <w:szCs w:val="16"/>
        </w:rPr>
      </w:pPr>
      <w:r>
        <w:t xml:space="preserve"> </w:t>
      </w:r>
      <w:r w:rsidRPr="00E0405B">
        <w:rPr>
          <w:color w:val="808080" w:themeColor="background1" w:themeShade="80"/>
          <w:sz w:val="16"/>
          <w:szCs w:val="16"/>
        </w:rPr>
        <w:t>T</w:t>
      </w:r>
      <w:r w:rsidR="002D14B6" w:rsidRPr="00E0405B">
        <w:rPr>
          <w:color w:val="808080" w:themeColor="background1" w:themeShade="80"/>
          <w:sz w:val="16"/>
          <w:szCs w:val="16"/>
        </w:rPr>
        <w:t xml:space="preserve">able </w:t>
      </w:r>
      <w:r w:rsidR="00E0405B" w:rsidRPr="00E0405B">
        <w:rPr>
          <w:color w:val="808080" w:themeColor="background1" w:themeShade="80"/>
          <w:sz w:val="16"/>
          <w:szCs w:val="16"/>
        </w:rPr>
        <w:t>3</w:t>
      </w:r>
      <w:r w:rsidR="002D14B6" w:rsidRPr="00E0405B">
        <w:rPr>
          <w:color w:val="808080" w:themeColor="background1" w:themeShade="80"/>
          <w:sz w:val="16"/>
          <w:szCs w:val="16"/>
        </w:rPr>
        <w:t xml:space="preserve"> Ethnicity of non-clinical workforce</w:t>
      </w:r>
    </w:p>
    <w:p w14:paraId="644E9960" w14:textId="6F54BB3F" w:rsidR="002D14B6" w:rsidRDefault="004C2F0A" w:rsidP="002D14B6">
      <w:r>
        <w:rPr>
          <w:noProof/>
        </w:rPr>
        <w:drawing>
          <wp:inline distT="0" distB="0" distL="0" distR="0" wp14:anchorId="4CC36429" wp14:editId="6F24B334">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D14B6" w:rsidRPr="00E0405B">
        <w:rPr>
          <w:color w:val="808080" w:themeColor="background1" w:themeShade="80"/>
          <w:sz w:val="16"/>
          <w:szCs w:val="16"/>
        </w:rPr>
        <w:t>Graph 2 Ethnicity of non-clinical workforce</w:t>
      </w:r>
    </w:p>
    <w:p w14:paraId="031B31A0" w14:textId="4B18D71A" w:rsidR="0039583F" w:rsidRDefault="0039583F" w:rsidP="00087E07"/>
    <w:p w14:paraId="1300E141" w14:textId="23CE482B" w:rsidR="00DE6516" w:rsidRDefault="00DE6516" w:rsidP="00087E07"/>
    <w:p w14:paraId="3BB34D06" w14:textId="77777777" w:rsidR="00DE6516" w:rsidRDefault="00DE6516" w:rsidP="00087E07"/>
    <w:tbl>
      <w:tblPr>
        <w:tblStyle w:val="TableGrid"/>
        <w:tblW w:w="0" w:type="auto"/>
        <w:tblLook w:val="04A0" w:firstRow="1" w:lastRow="0" w:firstColumn="1" w:lastColumn="0" w:noHBand="0" w:noVBand="1"/>
      </w:tblPr>
      <w:tblGrid>
        <w:gridCol w:w="3002"/>
        <w:gridCol w:w="3007"/>
        <w:gridCol w:w="3007"/>
      </w:tblGrid>
      <w:tr w:rsidR="00D97B5E" w:rsidRPr="004822BF" w14:paraId="4A54CB0F" w14:textId="77777777" w:rsidTr="00E104D7">
        <w:tc>
          <w:tcPr>
            <w:tcW w:w="9242" w:type="dxa"/>
            <w:gridSpan w:val="3"/>
            <w:shd w:val="clear" w:color="auto" w:fill="00B0F0"/>
          </w:tcPr>
          <w:p w14:paraId="39032FFD" w14:textId="24EB579A" w:rsidR="00D97B5E" w:rsidRPr="004822BF" w:rsidRDefault="00D97B5E" w:rsidP="00E104D7">
            <w:pPr>
              <w:rPr>
                <w:b/>
                <w:bCs/>
              </w:rPr>
            </w:pPr>
            <w:r>
              <w:rPr>
                <w:b/>
                <w:bCs/>
              </w:rPr>
              <w:t>C</w:t>
            </w:r>
            <w:r w:rsidRPr="004822BF">
              <w:rPr>
                <w:b/>
                <w:bCs/>
              </w:rPr>
              <w:t>linical workforce</w:t>
            </w:r>
            <w:r>
              <w:rPr>
                <w:b/>
                <w:bCs/>
              </w:rPr>
              <w:t xml:space="preserve"> of which non-medical</w:t>
            </w:r>
          </w:p>
        </w:tc>
      </w:tr>
      <w:tr w:rsidR="00D97B5E" w:rsidRPr="004822BF" w14:paraId="1FFBA3E3" w14:textId="77777777" w:rsidTr="00E104D7">
        <w:tc>
          <w:tcPr>
            <w:tcW w:w="3080" w:type="dxa"/>
            <w:shd w:val="clear" w:color="auto" w:fill="808080" w:themeFill="background1" w:themeFillShade="80"/>
          </w:tcPr>
          <w:p w14:paraId="31FEE999" w14:textId="77777777" w:rsidR="00D97B5E" w:rsidRPr="004822BF" w:rsidRDefault="00D97B5E" w:rsidP="00E104D7">
            <w:pPr>
              <w:rPr>
                <w:b/>
                <w:bCs/>
              </w:rPr>
            </w:pPr>
          </w:p>
        </w:tc>
        <w:tc>
          <w:tcPr>
            <w:tcW w:w="3081" w:type="dxa"/>
            <w:shd w:val="clear" w:color="auto" w:fill="00B0F0"/>
          </w:tcPr>
          <w:p w14:paraId="1B5462AF" w14:textId="77777777" w:rsidR="00D97B5E" w:rsidRPr="004822BF" w:rsidRDefault="00D97B5E" w:rsidP="00E104D7">
            <w:pPr>
              <w:rPr>
                <w:b/>
                <w:bCs/>
              </w:rPr>
            </w:pPr>
            <w:r w:rsidRPr="004822BF">
              <w:rPr>
                <w:b/>
                <w:bCs/>
              </w:rPr>
              <w:t>White</w:t>
            </w:r>
          </w:p>
        </w:tc>
        <w:tc>
          <w:tcPr>
            <w:tcW w:w="3081" w:type="dxa"/>
            <w:shd w:val="clear" w:color="auto" w:fill="00B0F0"/>
          </w:tcPr>
          <w:p w14:paraId="0F5A8DB9" w14:textId="77777777" w:rsidR="00D97B5E" w:rsidRPr="004822BF" w:rsidRDefault="00D97B5E" w:rsidP="00E104D7">
            <w:pPr>
              <w:rPr>
                <w:b/>
                <w:bCs/>
              </w:rPr>
            </w:pPr>
            <w:r w:rsidRPr="004822BF">
              <w:rPr>
                <w:b/>
                <w:bCs/>
              </w:rPr>
              <w:t>BAME</w:t>
            </w:r>
          </w:p>
        </w:tc>
      </w:tr>
      <w:tr w:rsidR="00D97B5E" w14:paraId="52BBCAB6" w14:textId="77777777" w:rsidTr="00E104D7">
        <w:tc>
          <w:tcPr>
            <w:tcW w:w="3080" w:type="dxa"/>
          </w:tcPr>
          <w:p w14:paraId="13CAFF5A" w14:textId="77777777" w:rsidR="00D97B5E" w:rsidRDefault="00D97B5E" w:rsidP="00E104D7">
            <w:r>
              <w:t>Band 1</w:t>
            </w:r>
          </w:p>
        </w:tc>
        <w:tc>
          <w:tcPr>
            <w:tcW w:w="3081" w:type="dxa"/>
          </w:tcPr>
          <w:p w14:paraId="6DB2E8E6" w14:textId="71D5D1E1" w:rsidR="00D97B5E" w:rsidRDefault="00152BF8" w:rsidP="00E104D7">
            <w:r>
              <w:t>0</w:t>
            </w:r>
          </w:p>
        </w:tc>
        <w:tc>
          <w:tcPr>
            <w:tcW w:w="3081" w:type="dxa"/>
          </w:tcPr>
          <w:p w14:paraId="039DAB28" w14:textId="0BABD99A" w:rsidR="00D97B5E" w:rsidRDefault="002F7EFF" w:rsidP="00E104D7">
            <w:r>
              <w:t>0</w:t>
            </w:r>
          </w:p>
        </w:tc>
      </w:tr>
      <w:tr w:rsidR="00D97B5E" w14:paraId="613B1455" w14:textId="77777777" w:rsidTr="00E104D7">
        <w:tc>
          <w:tcPr>
            <w:tcW w:w="3080" w:type="dxa"/>
          </w:tcPr>
          <w:p w14:paraId="095C9644" w14:textId="77777777" w:rsidR="00D97B5E" w:rsidRDefault="00D97B5E" w:rsidP="00E104D7">
            <w:r>
              <w:t>Band 2</w:t>
            </w:r>
          </w:p>
        </w:tc>
        <w:tc>
          <w:tcPr>
            <w:tcW w:w="3081" w:type="dxa"/>
          </w:tcPr>
          <w:p w14:paraId="3FFD62A1" w14:textId="2E47EBEC" w:rsidR="00D97B5E" w:rsidRDefault="00C240EB" w:rsidP="00E104D7">
            <w:r>
              <w:t>3</w:t>
            </w:r>
          </w:p>
        </w:tc>
        <w:tc>
          <w:tcPr>
            <w:tcW w:w="3081" w:type="dxa"/>
          </w:tcPr>
          <w:p w14:paraId="76BD8F9B" w14:textId="567F2DAE" w:rsidR="00D97B5E" w:rsidRDefault="00D07674" w:rsidP="00E104D7">
            <w:r>
              <w:t>25</w:t>
            </w:r>
          </w:p>
        </w:tc>
      </w:tr>
      <w:tr w:rsidR="00D97B5E" w14:paraId="5B05CFDE" w14:textId="77777777" w:rsidTr="00E104D7">
        <w:tc>
          <w:tcPr>
            <w:tcW w:w="3080" w:type="dxa"/>
          </w:tcPr>
          <w:p w14:paraId="3287F7CB" w14:textId="77777777" w:rsidR="00D97B5E" w:rsidRDefault="00D97B5E" w:rsidP="00E104D7">
            <w:r>
              <w:t>Band 3</w:t>
            </w:r>
          </w:p>
        </w:tc>
        <w:tc>
          <w:tcPr>
            <w:tcW w:w="3081" w:type="dxa"/>
          </w:tcPr>
          <w:p w14:paraId="2539E457" w14:textId="14BD4653" w:rsidR="00D97B5E" w:rsidRDefault="00C240EB" w:rsidP="00E104D7">
            <w:r>
              <w:t>143</w:t>
            </w:r>
          </w:p>
        </w:tc>
        <w:tc>
          <w:tcPr>
            <w:tcW w:w="3081" w:type="dxa"/>
          </w:tcPr>
          <w:p w14:paraId="38F99CEC" w14:textId="2023B605" w:rsidR="00D97B5E" w:rsidRDefault="002F7EFF" w:rsidP="00E104D7">
            <w:r>
              <w:t>2</w:t>
            </w:r>
            <w:r w:rsidR="00D07674">
              <w:t>6</w:t>
            </w:r>
          </w:p>
        </w:tc>
      </w:tr>
      <w:tr w:rsidR="00D97B5E" w14:paraId="0355FCAB" w14:textId="77777777" w:rsidTr="00E104D7">
        <w:tc>
          <w:tcPr>
            <w:tcW w:w="3080" w:type="dxa"/>
          </w:tcPr>
          <w:p w14:paraId="09045217" w14:textId="77777777" w:rsidR="00D97B5E" w:rsidRDefault="00D97B5E" w:rsidP="00E104D7">
            <w:r>
              <w:t>Band 4</w:t>
            </w:r>
          </w:p>
        </w:tc>
        <w:tc>
          <w:tcPr>
            <w:tcW w:w="3081" w:type="dxa"/>
          </w:tcPr>
          <w:p w14:paraId="05CDF90D" w14:textId="134F4967" w:rsidR="00D97B5E" w:rsidRDefault="00C240EB" w:rsidP="00E104D7">
            <w:r>
              <w:t>349</w:t>
            </w:r>
          </w:p>
        </w:tc>
        <w:tc>
          <w:tcPr>
            <w:tcW w:w="3081" w:type="dxa"/>
          </w:tcPr>
          <w:p w14:paraId="49D82025" w14:textId="3F1D09A9" w:rsidR="00D97B5E" w:rsidRDefault="00D07674" w:rsidP="00E104D7">
            <w:r>
              <w:t>16</w:t>
            </w:r>
          </w:p>
        </w:tc>
      </w:tr>
      <w:tr w:rsidR="00D97B5E" w14:paraId="086DD70C" w14:textId="77777777" w:rsidTr="00E104D7">
        <w:tc>
          <w:tcPr>
            <w:tcW w:w="3080" w:type="dxa"/>
          </w:tcPr>
          <w:p w14:paraId="14CADBB4" w14:textId="77777777" w:rsidR="00D97B5E" w:rsidRDefault="00D97B5E" w:rsidP="00E104D7">
            <w:r>
              <w:t>Band 5</w:t>
            </w:r>
          </w:p>
        </w:tc>
        <w:tc>
          <w:tcPr>
            <w:tcW w:w="3081" w:type="dxa"/>
          </w:tcPr>
          <w:p w14:paraId="455B48FB" w14:textId="1A51342D" w:rsidR="00D97B5E" w:rsidRDefault="00C240EB" w:rsidP="00E104D7">
            <w:r>
              <w:t>209</w:t>
            </w:r>
          </w:p>
        </w:tc>
        <w:tc>
          <w:tcPr>
            <w:tcW w:w="3081" w:type="dxa"/>
          </w:tcPr>
          <w:p w14:paraId="5A0B8EB0" w14:textId="6904E3B6" w:rsidR="00D97B5E" w:rsidRDefault="00D07674" w:rsidP="00E104D7">
            <w:r>
              <w:t>73</w:t>
            </w:r>
          </w:p>
        </w:tc>
      </w:tr>
      <w:tr w:rsidR="00D97B5E" w14:paraId="37EB5BB3" w14:textId="77777777" w:rsidTr="00E104D7">
        <w:tc>
          <w:tcPr>
            <w:tcW w:w="3080" w:type="dxa"/>
          </w:tcPr>
          <w:p w14:paraId="78DFAA6B" w14:textId="77777777" w:rsidR="00D97B5E" w:rsidRDefault="00D97B5E" w:rsidP="00E104D7">
            <w:r>
              <w:t>Band 6</w:t>
            </w:r>
          </w:p>
        </w:tc>
        <w:tc>
          <w:tcPr>
            <w:tcW w:w="3081" w:type="dxa"/>
          </w:tcPr>
          <w:p w14:paraId="3799BA84" w14:textId="2AF43301" w:rsidR="00D97B5E" w:rsidRDefault="00C240EB" w:rsidP="00E104D7">
            <w:r>
              <w:t>348</w:t>
            </w:r>
          </w:p>
        </w:tc>
        <w:tc>
          <w:tcPr>
            <w:tcW w:w="3081" w:type="dxa"/>
          </w:tcPr>
          <w:p w14:paraId="1F95264F" w14:textId="5820918E" w:rsidR="00D97B5E" w:rsidRDefault="00D07674" w:rsidP="00E104D7">
            <w:r>
              <w:t>49</w:t>
            </w:r>
          </w:p>
        </w:tc>
      </w:tr>
      <w:tr w:rsidR="00D97B5E" w14:paraId="0398F0C8" w14:textId="77777777" w:rsidTr="00E104D7">
        <w:tc>
          <w:tcPr>
            <w:tcW w:w="3080" w:type="dxa"/>
          </w:tcPr>
          <w:p w14:paraId="5B29A1F1" w14:textId="77777777" w:rsidR="00D97B5E" w:rsidRDefault="00D97B5E" w:rsidP="00E104D7">
            <w:r>
              <w:t>Band 7</w:t>
            </w:r>
          </w:p>
        </w:tc>
        <w:tc>
          <w:tcPr>
            <w:tcW w:w="3081" w:type="dxa"/>
          </w:tcPr>
          <w:p w14:paraId="67367211" w14:textId="6D3CD9E9" w:rsidR="00D97B5E" w:rsidRDefault="00C240EB" w:rsidP="00E104D7">
            <w:r>
              <w:t>691</w:t>
            </w:r>
          </w:p>
        </w:tc>
        <w:tc>
          <w:tcPr>
            <w:tcW w:w="3081" w:type="dxa"/>
          </w:tcPr>
          <w:p w14:paraId="2EC2D603" w14:textId="0E66AE47" w:rsidR="00D97B5E" w:rsidRDefault="00D07674" w:rsidP="00E104D7">
            <w:r>
              <w:t>24</w:t>
            </w:r>
          </w:p>
        </w:tc>
      </w:tr>
      <w:tr w:rsidR="00D97B5E" w14:paraId="3F266139" w14:textId="77777777" w:rsidTr="00E104D7">
        <w:tc>
          <w:tcPr>
            <w:tcW w:w="3080" w:type="dxa"/>
          </w:tcPr>
          <w:p w14:paraId="1D59EB45" w14:textId="77777777" w:rsidR="00D97B5E" w:rsidRDefault="00D97B5E" w:rsidP="00E104D7">
            <w:r>
              <w:t>Band 8a</w:t>
            </w:r>
          </w:p>
        </w:tc>
        <w:tc>
          <w:tcPr>
            <w:tcW w:w="3081" w:type="dxa"/>
          </w:tcPr>
          <w:p w14:paraId="1DA37BE7" w14:textId="76F6E60E" w:rsidR="00D97B5E" w:rsidRDefault="00C240EB" w:rsidP="00E104D7">
            <w:r>
              <w:t>399</w:t>
            </w:r>
          </w:p>
        </w:tc>
        <w:tc>
          <w:tcPr>
            <w:tcW w:w="3081" w:type="dxa"/>
          </w:tcPr>
          <w:p w14:paraId="23D50B7C" w14:textId="4D70AB5A" w:rsidR="00D97B5E" w:rsidRDefault="00D07674" w:rsidP="00E104D7">
            <w:r>
              <w:t>9</w:t>
            </w:r>
          </w:p>
        </w:tc>
      </w:tr>
      <w:tr w:rsidR="00D97B5E" w14:paraId="3A9C2CAA" w14:textId="77777777" w:rsidTr="00E104D7">
        <w:tc>
          <w:tcPr>
            <w:tcW w:w="3080" w:type="dxa"/>
          </w:tcPr>
          <w:p w14:paraId="3E6CA4FE" w14:textId="77777777" w:rsidR="00D97B5E" w:rsidRDefault="00D97B5E" w:rsidP="00E104D7">
            <w:r>
              <w:t>Band 8b</w:t>
            </w:r>
          </w:p>
        </w:tc>
        <w:tc>
          <w:tcPr>
            <w:tcW w:w="3081" w:type="dxa"/>
          </w:tcPr>
          <w:p w14:paraId="69028394" w14:textId="08A08193" w:rsidR="00D97B5E" w:rsidRDefault="00C240EB" w:rsidP="00E104D7">
            <w:r>
              <w:t>134</w:t>
            </w:r>
          </w:p>
        </w:tc>
        <w:tc>
          <w:tcPr>
            <w:tcW w:w="3081" w:type="dxa"/>
          </w:tcPr>
          <w:p w14:paraId="207EC6C5" w14:textId="6BB06B83" w:rsidR="00D97B5E" w:rsidRDefault="00D07674" w:rsidP="00E104D7">
            <w:r>
              <w:t>2</w:t>
            </w:r>
          </w:p>
        </w:tc>
      </w:tr>
      <w:tr w:rsidR="00D97B5E" w14:paraId="2D84B45B" w14:textId="77777777" w:rsidTr="00E104D7">
        <w:tc>
          <w:tcPr>
            <w:tcW w:w="3080" w:type="dxa"/>
          </w:tcPr>
          <w:p w14:paraId="146A38F9" w14:textId="77777777" w:rsidR="00D97B5E" w:rsidRDefault="00D97B5E" w:rsidP="00E104D7">
            <w:r>
              <w:t>Band 8c</w:t>
            </w:r>
          </w:p>
        </w:tc>
        <w:tc>
          <w:tcPr>
            <w:tcW w:w="3081" w:type="dxa"/>
          </w:tcPr>
          <w:p w14:paraId="4A18594F" w14:textId="21BEAF04" w:rsidR="00D97B5E" w:rsidRDefault="00C240EB" w:rsidP="00E104D7">
            <w:r>
              <w:t>46</w:t>
            </w:r>
          </w:p>
        </w:tc>
        <w:tc>
          <w:tcPr>
            <w:tcW w:w="3081" w:type="dxa"/>
          </w:tcPr>
          <w:p w14:paraId="23271606" w14:textId="0B43513C" w:rsidR="00D97B5E" w:rsidRDefault="00E66412" w:rsidP="00E104D7">
            <w:r>
              <w:t>2</w:t>
            </w:r>
          </w:p>
        </w:tc>
      </w:tr>
      <w:tr w:rsidR="00D97B5E" w14:paraId="163AED2F" w14:textId="77777777" w:rsidTr="00E104D7">
        <w:tc>
          <w:tcPr>
            <w:tcW w:w="3080" w:type="dxa"/>
          </w:tcPr>
          <w:p w14:paraId="5707C82C" w14:textId="77777777" w:rsidR="00D97B5E" w:rsidRDefault="00D97B5E" w:rsidP="00E104D7">
            <w:r>
              <w:t>Band 8d</w:t>
            </w:r>
          </w:p>
        </w:tc>
        <w:tc>
          <w:tcPr>
            <w:tcW w:w="3081" w:type="dxa"/>
          </w:tcPr>
          <w:p w14:paraId="609713E7" w14:textId="43CC4A5E" w:rsidR="00D97B5E" w:rsidRDefault="00C240EB" w:rsidP="00E104D7">
            <w:r>
              <w:t>10</w:t>
            </w:r>
          </w:p>
        </w:tc>
        <w:tc>
          <w:tcPr>
            <w:tcW w:w="3081" w:type="dxa"/>
          </w:tcPr>
          <w:p w14:paraId="1EE36F8B" w14:textId="69105C0B" w:rsidR="00D97B5E" w:rsidRDefault="00852955" w:rsidP="00E104D7">
            <w:r>
              <w:t>1</w:t>
            </w:r>
          </w:p>
        </w:tc>
      </w:tr>
      <w:tr w:rsidR="00D97B5E" w14:paraId="72C7B1A5" w14:textId="77777777" w:rsidTr="00E104D7">
        <w:tc>
          <w:tcPr>
            <w:tcW w:w="3080" w:type="dxa"/>
          </w:tcPr>
          <w:p w14:paraId="6DA9D4B3" w14:textId="77777777" w:rsidR="00D97B5E" w:rsidRDefault="00D97B5E" w:rsidP="00E104D7">
            <w:r>
              <w:t>Band 9</w:t>
            </w:r>
          </w:p>
        </w:tc>
        <w:tc>
          <w:tcPr>
            <w:tcW w:w="3081" w:type="dxa"/>
          </w:tcPr>
          <w:p w14:paraId="2751D2D0" w14:textId="0623867E" w:rsidR="00D97B5E" w:rsidRDefault="00C240EB" w:rsidP="00E104D7">
            <w:r>
              <w:t>11</w:t>
            </w:r>
          </w:p>
        </w:tc>
        <w:tc>
          <w:tcPr>
            <w:tcW w:w="3081" w:type="dxa"/>
          </w:tcPr>
          <w:p w14:paraId="09112BBD" w14:textId="1E41AC8E" w:rsidR="00D97B5E" w:rsidRDefault="009F665F" w:rsidP="00E104D7">
            <w:r>
              <w:t>0</w:t>
            </w:r>
          </w:p>
        </w:tc>
      </w:tr>
      <w:tr w:rsidR="00D97B5E" w14:paraId="67D8FDA7" w14:textId="77777777" w:rsidTr="00E104D7">
        <w:tc>
          <w:tcPr>
            <w:tcW w:w="3080" w:type="dxa"/>
          </w:tcPr>
          <w:p w14:paraId="71F70BC9" w14:textId="77777777" w:rsidR="00D97B5E" w:rsidRDefault="00D97B5E" w:rsidP="00E104D7">
            <w:r>
              <w:t>VSM</w:t>
            </w:r>
          </w:p>
        </w:tc>
        <w:tc>
          <w:tcPr>
            <w:tcW w:w="3081" w:type="dxa"/>
          </w:tcPr>
          <w:p w14:paraId="2D8C202C" w14:textId="565496A1" w:rsidR="00D97B5E" w:rsidRDefault="00C240EB" w:rsidP="00E104D7">
            <w:r>
              <w:t>1</w:t>
            </w:r>
          </w:p>
        </w:tc>
        <w:tc>
          <w:tcPr>
            <w:tcW w:w="3081" w:type="dxa"/>
          </w:tcPr>
          <w:p w14:paraId="73BAFF17" w14:textId="47CF514D" w:rsidR="00D97B5E" w:rsidRDefault="00E66412" w:rsidP="00E104D7">
            <w:r>
              <w:t>0</w:t>
            </w:r>
          </w:p>
        </w:tc>
      </w:tr>
    </w:tbl>
    <w:p w14:paraId="5B0F17F0" w14:textId="14BB5E2E" w:rsidR="004822BF" w:rsidRPr="00E0405B" w:rsidRDefault="002D14B6" w:rsidP="00087E07">
      <w:pPr>
        <w:rPr>
          <w:color w:val="808080" w:themeColor="background1" w:themeShade="80"/>
          <w:sz w:val="16"/>
          <w:szCs w:val="16"/>
        </w:rPr>
      </w:pPr>
      <w:r w:rsidRPr="00E0405B">
        <w:rPr>
          <w:color w:val="808080" w:themeColor="background1" w:themeShade="80"/>
          <w:sz w:val="16"/>
          <w:szCs w:val="16"/>
        </w:rPr>
        <w:t xml:space="preserve">Table </w:t>
      </w:r>
      <w:r w:rsidR="00E0405B" w:rsidRPr="00E0405B">
        <w:rPr>
          <w:color w:val="808080" w:themeColor="background1" w:themeShade="80"/>
          <w:sz w:val="16"/>
          <w:szCs w:val="16"/>
        </w:rPr>
        <w:t>4 Ethnicity of clinical (non-medical workforce)</w:t>
      </w:r>
    </w:p>
    <w:p w14:paraId="0B6C6320" w14:textId="58237ECB" w:rsidR="004822BF" w:rsidRDefault="004822BF" w:rsidP="00087E07"/>
    <w:p w14:paraId="4B1CEEE9" w14:textId="5C3B4247" w:rsidR="004C2F0A" w:rsidRDefault="004822BF" w:rsidP="00087E07">
      <w:pPr>
        <w:rPr>
          <w:color w:val="808080" w:themeColor="background1" w:themeShade="80"/>
          <w:sz w:val="16"/>
          <w:szCs w:val="16"/>
        </w:rPr>
      </w:pPr>
      <w:r>
        <w:rPr>
          <w:noProof/>
        </w:rPr>
        <w:drawing>
          <wp:inline distT="0" distB="0" distL="0" distR="0" wp14:anchorId="1AEDC6BB" wp14:editId="2E7EB79B">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0405B" w:rsidRPr="00E0405B">
        <w:rPr>
          <w:color w:val="808080" w:themeColor="background1" w:themeShade="80"/>
          <w:sz w:val="16"/>
          <w:szCs w:val="16"/>
        </w:rPr>
        <w:t>Graph 3 Ethnicity of clinical (non-medical workforce)</w:t>
      </w:r>
    </w:p>
    <w:p w14:paraId="0EB0BB77" w14:textId="77777777" w:rsidR="003672FA" w:rsidRPr="00E0405B" w:rsidRDefault="003672FA" w:rsidP="00087E07"/>
    <w:tbl>
      <w:tblPr>
        <w:tblStyle w:val="TableGrid"/>
        <w:tblW w:w="0" w:type="auto"/>
        <w:tblLook w:val="04A0" w:firstRow="1" w:lastRow="0" w:firstColumn="1" w:lastColumn="0" w:noHBand="0" w:noVBand="1"/>
      </w:tblPr>
      <w:tblGrid>
        <w:gridCol w:w="3016"/>
        <w:gridCol w:w="3000"/>
        <w:gridCol w:w="3000"/>
      </w:tblGrid>
      <w:tr w:rsidR="00D26F4B" w14:paraId="42172022" w14:textId="77777777" w:rsidTr="00D26F4B">
        <w:tc>
          <w:tcPr>
            <w:tcW w:w="9242" w:type="dxa"/>
            <w:gridSpan w:val="3"/>
            <w:shd w:val="clear" w:color="auto" w:fill="00B0F0"/>
          </w:tcPr>
          <w:p w14:paraId="40A2D6CC" w14:textId="0951798B" w:rsidR="00D26F4B" w:rsidRPr="00D26F4B" w:rsidRDefault="00D26F4B" w:rsidP="00087E07">
            <w:pPr>
              <w:rPr>
                <w:b/>
                <w:bCs/>
              </w:rPr>
            </w:pPr>
            <w:r w:rsidRPr="00D26F4B">
              <w:rPr>
                <w:b/>
                <w:bCs/>
              </w:rPr>
              <w:t>Medical Staff</w:t>
            </w:r>
          </w:p>
        </w:tc>
      </w:tr>
      <w:tr w:rsidR="00D26F4B" w14:paraId="0083CC1C" w14:textId="77777777" w:rsidTr="00D26F4B">
        <w:tc>
          <w:tcPr>
            <w:tcW w:w="3080" w:type="dxa"/>
            <w:shd w:val="clear" w:color="auto" w:fill="A6A6A6" w:themeFill="background1" w:themeFillShade="A6"/>
          </w:tcPr>
          <w:p w14:paraId="46249A7D" w14:textId="77777777" w:rsidR="00D26F4B" w:rsidRDefault="00D26F4B" w:rsidP="00087E07"/>
        </w:tc>
        <w:tc>
          <w:tcPr>
            <w:tcW w:w="3081" w:type="dxa"/>
            <w:shd w:val="clear" w:color="auto" w:fill="00B0F0"/>
          </w:tcPr>
          <w:p w14:paraId="054781C9" w14:textId="56AF0B3B" w:rsidR="00D26F4B" w:rsidRPr="00D26F4B" w:rsidRDefault="00D26F4B" w:rsidP="00087E07">
            <w:pPr>
              <w:rPr>
                <w:b/>
                <w:bCs/>
              </w:rPr>
            </w:pPr>
            <w:r w:rsidRPr="00D26F4B">
              <w:rPr>
                <w:b/>
                <w:bCs/>
              </w:rPr>
              <w:t>White</w:t>
            </w:r>
          </w:p>
        </w:tc>
        <w:tc>
          <w:tcPr>
            <w:tcW w:w="3081" w:type="dxa"/>
            <w:shd w:val="clear" w:color="auto" w:fill="00B0F0"/>
          </w:tcPr>
          <w:p w14:paraId="234A9D5D" w14:textId="38ADAC57" w:rsidR="00D26F4B" w:rsidRPr="00D26F4B" w:rsidRDefault="00D26F4B" w:rsidP="00087E07">
            <w:pPr>
              <w:rPr>
                <w:b/>
                <w:bCs/>
              </w:rPr>
            </w:pPr>
            <w:r w:rsidRPr="00D26F4B">
              <w:rPr>
                <w:b/>
                <w:bCs/>
              </w:rPr>
              <w:t>BAME</w:t>
            </w:r>
          </w:p>
        </w:tc>
      </w:tr>
      <w:tr w:rsidR="00D26F4B" w14:paraId="7AC03E6E" w14:textId="77777777" w:rsidTr="00D26F4B">
        <w:tc>
          <w:tcPr>
            <w:tcW w:w="3080" w:type="dxa"/>
          </w:tcPr>
          <w:p w14:paraId="5B3A010C" w14:textId="7687A6B4" w:rsidR="00D26F4B" w:rsidRDefault="00D26F4B" w:rsidP="00087E07">
            <w:r>
              <w:t>Consultants</w:t>
            </w:r>
          </w:p>
        </w:tc>
        <w:tc>
          <w:tcPr>
            <w:tcW w:w="3081" w:type="dxa"/>
          </w:tcPr>
          <w:p w14:paraId="5B471003" w14:textId="6951C520" w:rsidR="00D26F4B" w:rsidRDefault="00D26F4B" w:rsidP="00087E07">
            <w:r>
              <w:t>33</w:t>
            </w:r>
          </w:p>
        </w:tc>
        <w:tc>
          <w:tcPr>
            <w:tcW w:w="3081" w:type="dxa"/>
          </w:tcPr>
          <w:p w14:paraId="503E228C" w14:textId="1C0309E0" w:rsidR="00D26F4B" w:rsidRDefault="00D26F4B" w:rsidP="00087E07">
            <w:r>
              <w:t>19</w:t>
            </w:r>
          </w:p>
        </w:tc>
      </w:tr>
      <w:tr w:rsidR="00D26F4B" w14:paraId="11D51F54" w14:textId="77777777" w:rsidTr="00D26F4B">
        <w:tc>
          <w:tcPr>
            <w:tcW w:w="3080" w:type="dxa"/>
          </w:tcPr>
          <w:p w14:paraId="3C27FF8B" w14:textId="105F04FD" w:rsidR="00D26F4B" w:rsidRDefault="00D26F4B" w:rsidP="00087E07">
            <w:r>
              <w:t>Non-Consultant Career Grade</w:t>
            </w:r>
          </w:p>
        </w:tc>
        <w:tc>
          <w:tcPr>
            <w:tcW w:w="3081" w:type="dxa"/>
          </w:tcPr>
          <w:p w14:paraId="65833B74" w14:textId="4F31C9CE" w:rsidR="00D26F4B" w:rsidRDefault="00D26F4B" w:rsidP="00087E07">
            <w:r>
              <w:t>48</w:t>
            </w:r>
          </w:p>
        </w:tc>
        <w:tc>
          <w:tcPr>
            <w:tcW w:w="3081" w:type="dxa"/>
          </w:tcPr>
          <w:p w14:paraId="768CC7AD" w14:textId="5CDA52C5" w:rsidR="00D26F4B" w:rsidRDefault="00D26F4B" w:rsidP="00087E07">
            <w:r>
              <w:t>23</w:t>
            </w:r>
          </w:p>
        </w:tc>
      </w:tr>
      <w:tr w:rsidR="00D26F4B" w14:paraId="310AFCBF" w14:textId="77777777" w:rsidTr="00D26F4B">
        <w:tc>
          <w:tcPr>
            <w:tcW w:w="3080" w:type="dxa"/>
          </w:tcPr>
          <w:p w14:paraId="381F8726" w14:textId="0F26544D" w:rsidR="00D26F4B" w:rsidRDefault="00D26F4B" w:rsidP="00087E07">
            <w:r>
              <w:t>Trainee Grades</w:t>
            </w:r>
          </w:p>
        </w:tc>
        <w:tc>
          <w:tcPr>
            <w:tcW w:w="3081" w:type="dxa"/>
          </w:tcPr>
          <w:p w14:paraId="2C908809" w14:textId="097AD658" w:rsidR="00D26F4B" w:rsidRDefault="00D26F4B" w:rsidP="00087E07">
            <w:r>
              <w:t>22</w:t>
            </w:r>
          </w:p>
        </w:tc>
        <w:tc>
          <w:tcPr>
            <w:tcW w:w="3081" w:type="dxa"/>
          </w:tcPr>
          <w:p w14:paraId="3FBF82D5" w14:textId="487D92D5" w:rsidR="00D26F4B" w:rsidRDefault="00D26F4B" w:rsidP="00087E07">
            <w:r>
              <w:t>6</w:t>
            </w:r>
          </w:p>
        </w:tc>
      </w:tr>
      <w:tr w:rsidR="00D26F4B" w14:paraId="7F42703C" w14:textId="77777777" w:rsidTr="00D26F4B">
        <w:tc>
          <w:tcPr>
            <w:tcW w:w="3080" w:type="dxa"/>
          </w:tcPr>
          <w:p w14:paraId="0D8EFD49" w14:textId="4A354746" w:rsidR="00D26F4B" w:rsidRDefault="00D26F4B" w:rsidP="00087E07">
            <w:r>
              <w:t>Other</w:t>
            </w:r>
          </w:p>
        </w:tc>
        <w:tc>
          <w:tcPr>
            <w:tcW w:w="3081" w:type="dxa"/>
          </w:tcPr>
          <w:p w14:paraId="4197A173" w14:textId="2F14D0B4" w:rsidR="00D26F4B" w:rsidRDefault="00D26F4B" w:rsidP="00087E07">
            <w:r>
              <w:t>16</w:t>
            </w:r>
          </w:p>
        </w:tc>
        <w:tc>
          <w:tcPr>
            <w:tcW w:w="3081" w:type="dxa"/>
          </w:tcPr>
          <w:p w14:paraId="7119A100" w14:textId="4C975B49" w:rsidR="00D26F4B" w:rsidRDefault="00D26F4B" w:rsidP="00087E07">
            <w:r>
              <w:t>8</w:t>
            </w:r>
          </w:p>
        </w:tc>
      </w:tr>
    </w:tbl>
    <w:p w14:paraId="485D3D5A" w14:textId="755BE484" w:rsidR="006F1E84" w:rsidRPr="00E0405B" w:rsidRDefault="00E0405B" w:rsidP="00087E07">
      <w:pPr>
        <w:rPr>
          <w:color w:val="808080" w:themeColor="background1" w:themeShade="80"/>
          <w:sz w:val="16"/>
          <w:szCs w:val="16"/>
        </w:rPr>
      </w:pPr>
      <w:r w:rsidRPr="00E0405B">
        <w:rPr>
          <w:color w:val="808080" w:themeColor="background1" w:themeShade="80"/>
          <w:sz w:val="16"/>
          <w:szCs w:val="16"/>
        </w:rPr>
        <w:t>Table 5 Ethnicity of medical staff</w:t>
      </w:r>
    </w:p>
    <w:p w14:paraId="790A23B5" w14:textId="1508DB88" w:rsidR="004C2F0A" w:rsidRDefault="004C2F0A" w:rsidP="00087E07"/>
    <w:p w14:paraId="34955540" w14:textId="77777777" w:rsidR="0020010D" w:rsidRDefault="00BD344B" w:rsidP="00087E07">
      <w:r>
        <w:rPr>
          <w:noProof/>
        </w:rPr>
        <w:drawing>
          <wp:inline distT="0" distB="0" distL="0" distR="0" wp14:anchorId="0684575C" wp14:editId="2C2EEC12">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0405B" w:rsidRPr="00E0405B">
        <w:rPr>
          <w:color w:val="808080" w:themeColor="background1" w:themeShade="80"/>
          <w:sz w:val="16"/>
          <w:szCs w:val="16"/>
        </w:rPr>
        <w:t>Graph 4 Ethnicity of medical staff</w:t>
      </w:r>
    </w:p>
    <w:p w14:paraId="150B8C1E" w14:textId="663FB1D0" w:rsidR="00E0405B" w:rsidRDefault="007D7C38" w:rsidP="00087E07">
      <w:r>
        <w:t xml:space="preserve">Although the number of BAME staff has increased from 8% to 10.2% there is still a </w:t>
      </w:r>
      <w:r w:rsidR="007D0B52">
        <w:t>noticeable difference in the amount of white and BAME staff in all bands and medical grades.</w:t>
      </w:r>
      <w:r w:rsidR="0087796D">
        <w:t xml:space="preserve">  This is particularly apparent in </w:t>
      </w:r>
      <w:r w:rsidR="00C530ED">
        <w:t xml:space="preserve">clinical </w:t>
      </w:r>
      <w:r w:rsidR="001E3286">
        <w:t>Bands 8a and above and all non-clinical bands.</w:t>
      </w:r>
      <w:r w:rsidR="00BF5A4D">
        <w:t xml:space="preserve">  However, it should be noted that since this data was gathered on 31</w:t>
      </w:r>
      <w:r w:rsidR="00BF5A4D" w:rsidRPr="00BF5A4D">
        <w:rPr>
          <w:vertAlign w:val="superscript"/>
        </w:rPr>
        <w:t>st</w:t>
      </w:r>
      <w:r w:rsidR="00BF5A4D">
        <w:t xml:space="preserve"> March 2021 </w:t>
      </w:r>
      <w:r w:rsidR="007E667C">
        <w:t>there has been a</w:t>
      </w:r>
      <w:r w:rsidR="00273758">
        <w:t xml:space="preserve"> known</w:t>
      </w:r>
      <w:r w:rsidR="007E667C">
        <w:t xml:space="preserve"> increase</w:t>
      </w:r>
      <w:r w:rsidR="00273758">
        <w:t xml:space="preserve"> of 2</w:t>
      </w:r>
      <w:r w:rsidR="007E667C">
        <w:t xml:space="preserve">  BAME</w:t>
      </w:r>
      <w:r w:rsidR="00EF0104">
        <w:t xml:space="preserve"> staff in</w:t>
      </w:r>
      <w:r w:rsidR="007E667C">
        <w:t xml:space="preserve"> non-clinical 8a posts</w:t>
      </w:r>
      <w:r w:rsidR="00676F4C">
        <w:t>,</w:t>
      </w:r>
      <w:r w:rsidR="00273758">
        <w:t xml:space="preserve"> and 1</w:t>
      </w:r>
      <w:r w:rsidR="00EF0104">
        <w:t xml:space="preserve"> as a</w:t>
      </w:r>
      <w:r w:rsidR="00273758">
        <w:t xml:space="preserve"> non-clinical VSM.  </w:t>
      </w:r>
      <w:r w:rsidR="00C7511D">
        <w:t>The BAME 8a non-</w:t>
      </w:r>
      <w:r w:rsidR="004137E3">
        <w:t>clinical</w:t>
      </w:r>
      <w:r w:rsidR="00C7511D">
        <w:t xml:space="preserve"> posts were in the Community Engagement and Diversity and </w:t>
      </w:r>
      <w:r w:rsidR="004137E3">
        <w:t>Inclusion</w:t>
      </w:r>
      <w:r w:rsidR="00C7511D">
        <w:t xml:space="preserve"> team</w:t>
      </w:r>
      <w:r w:rsidR="00EF0104">
        <w:t>s</w:t>
      </w:r>
      <w:r w:rsidR="00C7511D">
        <w:t xml:space="preserve">, both </w:t>
      </w:r>
      <w:r w:rsidR="00C530ED">
        <w:t>of whom</w:t>
      </w:r>
      <w:r w:rsidR="00C7511D">
        <w:t xml:space="preserve"> have led the way in inclusive recruitment</w:t>
      </w:r>
      <w:r w:rsidR="004137E3">
        <w:t>.  The lessons learnt will be shared with the Trust.</w:t>
      </w:r>
      <w:r w:rsidR="00EB1A03">
        <w:t xml:space="preserve"> </w:t>
      </w:r>
    </w:p>
    <w:p w14:paraId="4279F605" w14:textId="77777777" w:rsidR="003672FA" w:rsidRDefault="003672FA" w:rsidP="00087E07"/>
    <w:p w14:paraId="31061F2F" w14:textId="75CFE7A2" w:rsidR="00704281" w:rsidRDefault="00704281" w:rsidP="00704281">
      <w:pPr>
        <w:rPr>
          <w:b/>
          <w:noProof/>
          <w:color w:val="AE2573"/>
        </w:rPr>
      </w:pPr>
      <w:r w:rsidRPr="00DA6E3A">
        <w:rPr>
          <w:b/>
          <w:noProof/>
          <w:color w:val="AE2573"/>
        </w:rPr>
        <w:t xml:space="preserve">Indicator </w:t>
      </w:r>
      <w:r>
        <w:rPr>
          <w:b/>
          <w:noProof/>
          <w:color w:val="AE2573"/>
        </w:rPr>
        <w:t xml:space="preserve">2 </w:t>
      </w:r>
    </w:p>
    <w:tbl>
      <w:tblPr>
        <w:tblStyle w:val="TableGrid"/>
        <w:tblW w:w="0" w:type="auto"/>
        <w:tblLook w:val="04A0" w:firstRow="1" w:lastRow="0" w:firstColumn="1" w:lastColumn="0" w:noHBand="0" w:noVBand="1"/>
      </w:tblPr>
      <w:tblGrid>
        <w:gridCol w:w="4508"/>
        <w:gridCol w:w="4508"/>
      </w:tblGrid>
      <w:tr w:rsidR="00F56E6E" w14:paraId="11EDDBEA" w14:textId="77777777" w:rsidTr="00D713E4">
        <w:tc>
          <w:tcPr>
            <w:tcW w:w="9242" w:type="dxa"/>
            <w:gridSpan w:val="2"/>
            <w:shd w:val="clear" w:color="auto" w:fill="00B0F0"/>
          </w:tcPr>
          <w:p w14:paraId="6B0AA1CB" w14:textId="47E2E81C" w:rsidR="00F56E6E" w:rsidRPr="00D713E4" w:rsidRDefault="00F56E6E" w:rsidP="00704281">
            <w:pPr>
              <w:rPr>
                <w:rFonts w:cstheme="minorHAnsi"/>
                <w:b/>
                <w:bCs/>
              </w:rPr>
            </w:pPr>
            <w:r w:rsidRPr="00D713E4">
              <w:rPr>
                <w:rFonts w:cstheme="minorHAnsi"/>
                <w:b/>
                <w:bCs/>
              </w:rPr>
              <w:t xml:space="preserve">Relative likelihood of white staff being shortlisted compared to BAME staff </w:t>
            </w:r>
          </w:p>
        </w:tc>
      </w:tr>
      <w:tr w:rsidR="00023900" w14:paraId="7B7B9B38" w14:textId="77777777" w:rsidTr="00D713E4">
        <w:tc>
          <w:tcPr>
            <w:tcW w:w="4621" w:type="dxa"/>
            <w:shd w:val="clear" w:color="auto" w:fill="00B0F0"/>
          </w:tcPr>
          <w:p w14:paraId="20D6B419" w14:textId="7FA88A8B" w:rsidR="00023900" w:rsidRPr="00D713E4" w:rsidRDefault="00023900" w:rsidP="007774D1">
            <w:pPr>
              <w:jc w:val="center"/>
              <w:rPr>
                <w:b/>
                <w:bCs/>
                <w:noProof/>
                <w:color w:val="000000" w:themeColor="text1"/>
              </w:rPr>
            </w:pPr>
            <w:r w:rsidRPr="00D713E4">
              <w:rPr>
                <w:b/>
                <w:bCs/>
                <w:noProof/>
                <w:color w:val="000000" w:themeColor="text1"/>
              </w:rPr>
              <w:t>2020</w:t>
            </w:r>
          </w:p>
        </w:tc>
        <w:tc>
          <w:tcPr>
            <w:tcW w:w="4621" w:type="dxa"/>
            <w:shd w:val="clear" w:color="auto" w:fill="00B0F0"/>
          </w:tcPr>
          <w:p w14:paraId="67C7EA7D" w14:textId="23C49981" w:rsidR="00023900" w:rsidRPr="00D713E4" w:rsidRDefault="00023900" w:rsidP="007774D1">
            <w:pPr>
              <w:jc w:val="center"/>
              <w:rPr>
                <w:b/>
                <w:bCs/>
                <w:noProof/>
                <w:color w:val="000000" w:themeColor="text1"/>
              </w:rPr>
            </w:pPr>
            <w:r w:rsidRPr="00D713E4">
              <w:rPr>
                <w:b/>
                <w:bCs/>
                <w:noProof/>
                <w:color w:val="000000" w:themeColor="text1"/>
              </w:rPr>
              <w:t>2021</w:t>
            </w:r>
          </w:p>
        </w:tc>
      </w:tr>
      <w:tr w:rsidR="00023900" w14:paraId="228186F5" w14:textId="77777777" w:rsidTr="00023900">
        <w:tc>
          <w:tcPr>
            <w:tcW w:w="4621" w:type="dxa"/>
          </w:tcPr>
          <w:p w14:paraId="6D1A5A86" w14:textId="75B26FAD" w:rsidR="00023900" w:rsidRPr="00D713E4" w:rsidRDefault="00F56E6E" w:rsidP="007774D1">
            <w:pPr>
              <w:jc w:val="center"/>
              <w:rPr>
                <w:bCs/>
                <w:noProof/>
                <w:color w:val="000000" w:themeColor="text1"/>
              </w:rPr>
            </w:pPr>
            <w:r w:rsidRPr="00D713E4">
              <w:rPr>
                <w:bCs/>
                <w:noProof/>
                <w:color w:val="000000" w:themeColor="text1"/>
              </w:rPr>
              <w:t>1.40</w:t>
            </w:r>
          </w:p>
        </w:tc>
        <w:tc>
          <w:tcPr>
            <w:tcW w:w="4621" w:type="dxa"/>
          </w:tcPr>
          <w:p w14:paraId="270FC190" w14:textId="3E424668" w:rsidR="00023900" w:rsidRPr="00D713E4" w:rsidRDefault="00023900" w:rsidP="007774D1">
            <w:pPr>
              <w:jc w:val="center"/>
              <w:rPr>
                <w:bCs/>
                <w:noProof/>
                <w:color w:val="000000" w:themeColor="text1"/>
              </w:rPr>
            </w:pPr>
            <w:r w:rsidRPr="00D713E4">
              <w:rPr>
                <w:bCs/>
                <w:noProof/>
                <w:color w:val="000000" w:themeColor="text1"/>
              </w:rPr>
              <w:t>1.36</w:t>
            </w:r>
          </w:p>
        </w:tc>
      </w:tr>
    </w:tbl>
    <w:p w14:paraId="43F61F2C" w14:textId="6C6D8D77" w:rsidR="00CC1032" w:rsidRPr="00425C42" w:rsidRDefault="00D713E4" w:rsidP="00704281">
      <w:pPr>
        <w:rPr>
          <w:b/>
          <w:noProof/>
          <w:color w:val="808080" w:themeColor="background1" w:themeShade="80"/>
          <w:sz w:val="16"/>
          <w:szCs w:val="16"/>
        </w:rPr>
      </w:pPr>
      <w:r w:rsidRPr="00425C42">
        <w:rPr>
          <w:b/>
          <w:noProof/>
          <w:color w:val="808080" w:themeColor="background1" w:themeShade="80"/>
          <w:sz w:val="16"/>
          <w:szCs w:val="16"/>
        </w:rPr>
        <w:t>Table 6</w:t>
      </w:r>
      <w:r w:rsidR="00425C42" w:rsidRPr="00425C42">
        <w:rPr>
          <w:b/>
          <w:noProof/>
          <w:color w:val="808080" w:themeColor="background1" w:themeShade="80"/>
          <w:sz w:val="16"/>
          <w:szCs w:val="16"/>
        </w:rPr>
        <w:t xml:space="preserve"> </w:t>
      </w:r>
      <w:r w:rsidR="00425C42" w:rsidRPr="00425C42">
        <w:rPr>
          <w:rFonts w:cstheme="minorHAnsi"/>
          <w:b/>
          <w:bCs/>
          <w:color w:val="808080" w:themeColor="background1" w:themeShade="80"/>
          <w:sz w:val="16"/>
          <w:szCs w:val="16"/>
        </w:rPr>
        <w:t>Relative likelihood of white staff being shortlisted compared to BAME staff</w:t>
      </w:r>
    </w:p>
    <w:p w14:paraId="3805DDC9" w14:textId="1BB89529" w:rsidR="00704281" w:rsidRDefault="00D713E4" w:rsidP="00087E07">
      <w:pPr>
        <w:rPr>
          <w:bCs/>
          <w:noProof/>
          <w:color w:val="000000" w:themeColor="text1"/>
        </w:rPr>
      </w:pPr>
      <w:r>
        <w:rPr>
          <w:bCs/>
          <w:noProof/>
          <w:color w:val="000000" w:themeColor="text1"/>
        </w:rPr>
        <w:t>There has been</w:t>
      </w:r>
      <w:r w:rsidR="00AD49CF">
        <w:rPr>
          <w:bCs/>
          <w:noProof/>
          <w:color w:val="000000" w:themeColor="text1"/>
        </w:rPr>
        <w:t xml:space="preserve"> a</w:t>
      </w:r>
      <w:r>
        <w:rPr>
          <w:bCs/>
          <w:noProof/>
          <w:color w:val="000000" w:themeColor="text1"/>
        </w:rPr>
        <w:t xml:space="preserve"> slight improvement in</w:t>
      </w:r>
      <w:r w:rsidR="00AA3C9A">
        <w:rPr>
          <w:bCs/>
          <w:noProof/>
          <w:color w:val="000000" w:themeColor="text1"/>
        </w:rPr>
        <w:t xml:space="preserve"> this indicator and we now have a slight increase in the amount of BAME staff being shortlisted.</w:t>
      </w:r>
      <w:r>
        <w:rPr>
          <w:bCs/>
          <w:noProof/>
          <w:color w:val="000000" w:themeColor="text1"/>
        </w:rPr>
        <w:t xml:space="preserve">  </w:t>
      </w:r>
      <w:r w:rsidR="00022AD9">
        <w:rPr>
          <w:bCs/>
          <w:noProof/>
          <w:color w:val="000000" w:themeColor="text1"/>
        </w:rPr>
        <w:t>Initiati</w:t>
      </w:r>
      <w:r w:rsidR="00D74459">
        <w:rPr>
          <w:bCs/>
          <w:noProof/>
          <w:color w:val="000000" w:themeColor="text1"/>
        </w:rPr>
        <w:t>v</w:t>
      </w:r>
      <w:r w:rsidR="00022AD9">
        <w:rPr>
          <w:bCs/>
          <w:noProof/>
          <w:color w:val="000000" w:themeColor="text1"/>
        </w:rPr>
        <w:t>es that have been implemented that may have contributed this include</w:t>
      </w:r>
      <w:r w:rsidR="00B92BB8">
        <w:rPr>
          <w:bCs/>
          <w:noProof/>
          <w:color w:val="000000" w:themeColor="text1"/>
        </w:rPr>
        <w:t xml:space="preserve"> the growth in</w:t>
      </w:r>
      <w:r w:rsidR="00D74459">
        <w:rPr>
          <w:bCs/>
          <w:noProof/>
          <w:color w:val="000000" w:themeColor="text1"/>
        </w:rPr>
        <w:t xml:space="preserve"> </w:t>
      </w:r>
      <w:r w:rsidR="00B92BB8">
        <w:rPr>
          <w:bCs/>
          <w:noProof/>
          <w:color w:val="000000" w:themeColor="text1"/>
        </w:rPr>
        <w:t>mem</w:t>
      </w:r>
      <w:r w:rsidR="008E49D2">
        <w:rPr>
          <w:bCs/>
          <w:noProof/>
          <w:color w:val="000000" w:themeColor="text1"/>
        </w:rPr>
        <w:t>bership</w:t>
      </w:r>
      <w:r w:rsidR="00B92BB8">
        <w:rPr>
          <w:bCs/>
          <w:noProof/>
          <w:color w:val="000000" w:themeColor="text1"/>
        </w:rPr>
        <w:t xml:space="preserve"> of the BAME Resource G</w:t>
      </w:r>
      <w:r w:rsidR="00F432F5">
        <w:rPr>
          <w:bCs/>
          <w:noProof/>
          <w:color w:val="000000" w:themeColor="text1"/>
        </w:rPr>
        <w:t>roup, increase in mem</w:t>
      </w:r>
      <w:r w:rsidR="00FE2A54">
        <w:rPr>
          <w:bCs/>
          <w:noProof/>
          <w:color w:val="000000" w:themeColor="text1"/>
        </w:rPr>
        <w:t>be</w:t>
      </w:r>
      <w:r w:rsidR="00F432F5">
        <w:rPr>
          <w:bCs/>
          <w:noProof/>
          <w:color w:val="000000" w:themeColor="text1"/>
        </w:rPr>
        <w:t xml:space="preserve">rs of the Diversity and Inclusion team </w:t>
      </w:r>
      <w:r w:rsidR="00D74459">
        <w:rPr>
          <w:bCs/>
          <w:noProof/>
          <w:color w:val="000000" w:themeColor="text1"/>
        </w:rPr>
        <w:t xml:space="preserve">and </w:t>
      </w:r>
      <w:r w:rsidR="00C8349F">
        <w:rPr>
          <w:bCs/>
          <w:noProof/>
          <w:color w:val="000000" w:themeColor="text1"/>
        </w:rPr>
        <w:t>increa</w:t>
      </w:r>
      <w:r w:rsidR="008E49D2">
        <w:rPr>
          <w:bCs/>
          <w:noProof/>
          <w:color w:val="000000" w:themeColor="text1"/>
        </w:rPr>
        <w:t>s</w:t>
      </w:r>
      <w:r w:rsidR="00C8349F">
        <w:rPr>
          <w:bCs/>
          <w:noProof/>
          <w:color w:val="000000" w:themeColor="text1"/>
        </w:rPr>
        <w:t>ed collaboration with the Diversity and Inclusion and People and OD team.</w:t>
      </w:r>
      <w:r w:rsidR="00A44F2B">
        <w:rPr>
          <w:bCs/>
          <w:noProof/>
          <w:color w:val="000000" w:themeColor="text1"/>
        </w:rPr>
        <w:t xml:space="preserve">  </w:t>
      </w:r>
    </w:p>
    <w:p w14:paraId="29CBA41D" w14:textId="77777777" w:rsidR="00E9562B" w:rsidRPr="00E9562B" w:rsidRDefault="00E9562B" w:rsidP="00087E07">
      <w:pPr>
        <w:rPr>
          <w:bCs/>
          <w:noProof/>
          <w:color w:val="000000" w:themeColor="text1"/>
        </w:rPr>
      </w:pPr>
    </w:p>
    <w:p w14:paraId="0C46BEA7" w14:textId="131C6CB4" w:rsidR="00704281" w:rsidRDefault="006E1319" w:rsidP="00087E07">
      <w:pPr>
        <w:rPr>
          <w:b/>
          <w:noProof/>
          <w:color w:val="AE2573"/>
        </w:rPr>
      </w:pPr>
      <w:r w:rsidRPr="00DA6E3A">
        <w:rPr>
          <w:b/>
          <w:noProof/>
          <w:color w:val="AE2573"/>
        </w:rPr>
        <w:t xml:space="preserve">Indicator </w:t>
      </w:r>
      <w:r>
        <w:rPr>
          <w:b/>
          <w:noProof/>
          <w:color w:val="AE2573"/>
        </w:rPr>
        <w:t>3</w:t>
      </w:r>
    </w:p>
    <w:tbl>
      <w:tblPr>
        <w:tblStyle w:val="TableGrid"/>
        <w:tblW w:w="0" w:type="auto"/>
        <w:tblLook w:val="04A0" w:firstRow="1" w:lastRow="0" w:firstColumn="1" w:lastColumn="0" w:noHBand="0" w:noVBand="1"/>
      </w:tblPr>
      <w:tblGrid>
        <w:gridCol w:w="4508"/>
        <w:gridCol w:w="4508"/>
      </w:tblGrid>
      <w:tr w:rsidR="00C32D3A" w:rsidRPr="00D713E4" w14:paraId="326DE068" w14:textId="77777777" w:rsidTr="00C17A65">
        <w:tc>
          <w:tcPr>
            <w:tcW w:w="9242" w:type="dxa"/>
            <w:gridSpan w:val="2"/>
            <w:shd w:val="clear" w:color="auto" w:fill="00B0F0"/>
          </w:tcPr>
          <w:p w14:paraId="6F4E85BF" w14:textId="0E36C283" w:rsidR="00C32D3A" w:rsidRPr="00DB512B" w:rsidRDefault="00C32D3A" w:rsidP="00C17A65">
            <w:pPr>
              <w:rPr>
                <w:rFonts w:cstheme="minorHAnsi"/>
                <w:b/>
                <w:bCs/>
              </w:rPr>
            </w:pPr>
            <w:r w:rsidRPr="00DB512B">
              <w:rPr>
                <w:b/>
                <w:bCs/>
                <w:color w:val="000000" w:themeColor="text1"/>
              </w:rPr>
              <w:t xml:space="preserve">Relative likelihood of </w:t>
            </w:r>
            <w:r>
              <w:rPr>
                <w:b/>
                <w:bCs/>
                <w:color w:val="000000" w:themeColor="text1"/>
              </w:rPr>
              <w:t>BAME staff entering the formal disciplinary process</w:t>
            </w:r>
          </w:p>
        </w:tc>
      </w:tr>
      <w:tr w:rsidR="00C32D3A" w:rsidRPr="00D713E4" w14:paraId="3CA0A4A5" w14:textId="77777777" w:rsidTr="00C17A65">
        <w:tc>
          <w:tcPr>
            <w:tcW w:w="4621" w:type="dxa"/>
            <w:shd w:val="clear" w:color="auto" w:fill="00B0F0"/>
          </w:tcPr>
          <w:p w14:paraId="3C46BE8A" w14:textId="77777777" w:rsidR="00C32D3A" w:rsidRPr="00D713E4" w:rsidRDefault="00C32D3A" w:rsidP="00C17A65">
            <w:pPr>
              <w:jc w:val="center"/>
              <w:rPr>
                <w:b/>
                <w:bCs/>
                <w:noProof/>
                <w:color w:val="000000" w:themeColor="text1"/>
              </w:rPr>
            </w:pPr>
            <w:r w:rsidRPr="00D713E4">
              <w:rPr>
                <w:b/>
                <w:bCs/>
                <w:noProof/>
                <w:color w:val="000000" w:themeColor="text1"/>
              </w:rPr>
              <w:t>2020</w:t>
            </w:r>
          </w:p>
        </w:tc>
        <w:tc>
          <w:tcPr>
            <w:tcW w:w="4621" w:type="dxa"/>
            <w:shd w:val="clear" w:color="auto" w:fill="00B0F0"/>
          </w:tcPr>
          <w:p w14:paraId="010875ED" w14:textId="77777777" w:rsidR="00C32D3A" w:rsidRPr="00D713E4" w:rsidRDefault="00C32D3A" w:rsidP="00C17A65">
            <w:pPr>
              <w:jc w:val="center"/>
              <w:rPr>
                <w:b/>
                <w:bCs/>
                <w:noProof/>
                <w:color w:val="000000" w:themeColor="text1"/>
              </w:rPr>
            </w:pPr>
            <w:r w:rsidRPr="00D713E4">
              <w:rPr>
                <w:b/>
                <w:bCs/>
                <w:noProof/>
                <w:color w:val="000000" w:themeColor="text1"/>
              </w:rPr>
              <w:t>2021</w:t>
            </w:r>
          </w:p>
        </w:tc>
      </w:tr>
      <w:tr w:rsidR="00C32D3A" w:rsidRPr="00D713E4" w14:paraId="2F1924C0" w14:textId="77777777" w:rsidTr="00C17A65">
        <w:tc>
          <w:tcPr>
            <w:tcW w:w="4621" w:type="dxa"/>
          </w:tcPr>
          <w:p w14:paraId="79D91379" w14:textId="2059D645" w:rsidR="00C32D3A" w:rsidRPr="00D713E4" w:rsidRDefault="00C32D3A" w:rsidP="00C17A65">
            <w:pPr>
              <w:jc w:val="center"/>
              <w:rPr>
                <w:bCs/>
                <w:noProof/>
                <w:color w:val="000000" w:themeColor="text1"/>
              </w:rPr>
            </w:pPr>
            <w:r>
              <w:rPr>
                <w:bCs/>
                <w:noProof/>
                <w:color w:val="000000" w:themeColor="text1"/>
              </w:rPr>
              <w:t>1.55</w:t>
            </w:r>
          </w:p>
        </w:tc>
        <w:tc>
          <w:tcPr>
            <w:tcW w:w="4621" w:type="dxa"/>
          </w:tcPr>
          <w:p w14:paraId="17CD03D8" w14:textId="2CBAF2FB" w:rsidR="00C32D3A" w:rsidRPr="00D713E4" w:rsidRDefault="00C32D3A" w:rsidP="00C17A65">
            <w:pPr>
              <w:jc w:val="center"/>
              <w:rPr>
                <w:bCs/>
                <w:noProof/>
                <w:color w:val="000000" w:themeColor="text1"/>
              </w:rPr>
            </w:pPr>
            <w:r>
              <w:rPr>
                <w:bCs/>
                <w:noProof/>
                <w:color w:val="000000" w:themeColor="text1"/>
              </w:rPr>
              <w:t>2.64</w:t>
            </w:r>
          </w:p>
        </w:tc>
      </w:tr>
    </w:tbl>
    <w:p w14:paraId="15D7C606" w14:textId="7F6FCAEC" w:rsidR="00C94A49" w:rsidRPr="003C6295" w:rsidRDefault="00425C42" w:rsidP="003C6295">
      <w:pPr>
        <w:rPr>
          <w:color w:val="808080" w:themeColor="background1" w:themeShade="80"/>
          <w:sz w:val="16"/>
          <w:szCs w:val="16"/>
        </w:rPr>
      </w:pPr>
      <w:r w:rsidRPr="003C6295">
        <w:rPr>
          <w:color w:val="808080" w:themeColor="background1" w:themeShade="80"/>
          <w:sz w:val="16"/>
          <w:szCs w:val="16"/>
        </w:rPr>
        <w:t xml:space="preserve">Table 7 </w:t>
      </w:r>
      <w:r w:rsidR="003C6295" w:rsidRPr="003C6295">
        <w:rPr>
          <w:color w:val="808080" w:themeColor="background1" w:themeShade="80"/>
          <w:sz w:val="16"/>
          <w:szCs w:val="16"/>
        </w:rPr>
        <w:t>R</w:t>
      </w:r>
      <w:r w:rsidRPr="003C6295">
        <w:rPr>
          <w:color w:val="808080" w:themeColor="background1" w:themeShade="80"/>
          <w:sz w:val="16"/>
          <w:szCs w:val="16"/>
        </w:rPr>
        <w:t>elative likelihood of BAME staff entering the formal disciplinary process</w:t>
      </w:r>
    </w:p>
    <w:p w14:paraId="6E01A302" w14:textId="0282F634" w:rsidR="00873187" w:rsidRDefault="002E27E7" w:rsidP="00087E07">
      <w:r w:rsidRPr="00C32D3A">
        <w:t>This indicator has increased since last year.</w:t>
      </w:r>
      <w:r w:rsidR="00C94A49" w:rsidRPr="00C32D3A">
        <w:t xml:space="preserve"> </w:t>
      </w:r>
      <w:r w:rsidR="00AA3C9A">
        <w:t xml:space="preserve"> The WRES guidance states that “this indicator refers to staff who have entered a formal investigation as prescribed by the local disciplinary process. Any occasional cases where disciplinary action is not preceded by an investigation should also be included in this definition.”</w:t>
      </w:r>
      <w:r w:rsidR="00CB34EF">
        <w:t xml:space="preserve">  The data is for </w:t>
      </w:r>
      <w:r w:rsidR="00E268E3">
        <w:t xml:space="preserve">capability on the grounds of performance not ill-health. </w:t>
      </w:r>
      <w:r w:rsidR="00C94A49" w:rsidRPr="00C32D3A">
        <w:t xml:space="preserve"> The relative likelihood of BAME staff entering the formal disciplinary process has increased from 1.55 to 2.64.</w:t>
      </w:r>
      <w:r w:rsidRPr="00C32D3A">
        <w:t xml:space="preserve"> </w:t>
      </w:r>
      <w:r w:rsidR="00C32D3A" w:rsidRPr="00C32D3A">
        <w:t>It is anticipated that the</w:t>
      </w:r>
      <w:r w:rsidR="009A6601" w:rsidRPr="00C32D3A">
        <w:t xml:space="preserve"> launch earlier in the year of the early Resolution Hub</w:t>
      </w:r>
      <w:r w:rsidR="00675E51" w:rsidRPr="00C32D3A">
        <w:t xml:space="preserve"> which aims to prevent escalation to the formal disciplinary process</w:t>
      </w:r>
      <w:r w:rsidR="00C32D3A" w:rsidRPr="00C32D3A">
        <w:t xml:space="preserve"> will help improve results for this indicator</w:t>
      </w:r>
      <w:r w:rsidR="00675E51" w:rsidRPr="00C32D3A">
        <w:t>.</w:t>
      </w:r>
    </w:p>
    <w:p w14:paraId="233DE544" w14:textId="77777777" w:rsidR="00BD5580" w:rsidRDefault="00BD5580" w:rsidP="00087E07"/>
    <w:p w14:paraId="3F1EBD4C" w14:textId="022D485F" w:rsidR="00873187" w:rsidRDefault="00873187" w:rsidP="00873187">
      <w:pPr>
        <w:rPr>
          <w:b/>
          <w:noProof/>
          <w:color w:val="AE2573"/>
        </w:rPr>
      </w:pPr>
      <w:r w:rsidRPr="00DA6E3A">
        <w:rPr>
          <w:b/>
          <w:noProof/>
          <w:color w:val="AE2573"/>
        </w:rPr>
        <w:t xml:space="preserve">Indicator </w:t>
      </w:r>
      <w:r>
        <w:rPr>
          <w:b/>
          <w:noProof/>
          <w:color w:val="AE2573"/>
        </w:rPr>
        <w:t>4</w:t>
      </w:r>
    </w:p>
    <w:tbl>
      <w:tblPr>
        <w:tblStyle w:val="TableGrid"/>
        <w:tblW w:w="0" w:type="auto"/>
        <w:tblLook w:val="04A0" w:firstRow="1" w:lastRow="0" w:firstColumn="1" w:lastColumn="0" w:noHBand="0" w:noVBand="1"/>
      </w:tblPr>
      <w:tblGrid>
        <w:gridCol w:w="4508"/>
        <w:gridCol w:w="4508"/>
      </w:tblGrid>
      <w:tr w:rsidR="00FB14C0" w:rsidRPr="00D713E4" w14:paraId="3D6924E2" w14:textId="77777777" w:rsidTr="006C1CE5">
        <w:tc>
          <w:tcPr>
            <w:tcW w:w="9242" w:type="dxa"/>
            <w:gridSpan w:val="2"/>
            <w:shd w:val="clear" w:color="auto" w:fill="00B0F0"/>
          </w:tcPr>
          <w:p w14:paraId="4D9738C1" w14:textId="56E5DADE" w:rsidR="00FB14C0" w:rsidRPr="00DB512B" w:rsidRDefault="0047489A" w:rsidP="006C1CE5">
            <w:pPr>
              <w:rPr>
                <w:rFonts w:cstheme="minorHAnsi"/>
                <w:b/>
                <w:bCs/>
              </w:rPr>
            </w:pPr>
            <w:r w:rsidRPr="00DB512B">
              <w:rPr>
                <w:b/>
                <w:bCs/>
                <w:color w:val="000000" w:themeColor="text1"/>
              </w:rPr>
              <w:t>Relative likelihood of white staff accessing non</w:t>
            </w:r>
            <w:r w:rsidR="00DB512B">
              <w:rPr>
                <w:b/>
                <w:bCs/>
                <w:color w:val="000000" w:themeColor="text1"/>
              </w:rPr>
              <w:t>-</w:t>
            </w:r>
            <w:r w:rsidRPr="00DB512B">
              <w:rPr>
                <w:b/>
                <w:bCs/>
                <w:color w:val="000000" w:themeColor="text1"/>
              </w:rPr>
              <w:t>mandatory training compared to BAME staff</w:t>
            </w:r>
          </w:p>
        </w:tc>
      </w:tr>
      <w:tr w:rsidR="00FB14C0" w:rsidRPr="00D713E4" w14:paraId="02AD372E" w14:textId="77777777" w:rsidTr="006C1CE5">
        <w:tc>
          <w:tcPr>
            <w:tcW w:w="4621" w:type="dxa"/>
            <w:shd w:val="clear" w:color="auto" w:fill="00B0F0"/>
          </w:tcPr>
          <w:p w14:paraId="05B8CF51" w14:textId="77777777" w:rsidR="00FB14C0" w:rsidRPr="00D713E4" w:rsidRDefault="00FB14C0" w:rsidP="007774D1">
            <w:pPr>
              <w:jc w:val="center"/>
              <w:rPr>
                <w:b/>
                <w:bCs/>
                <w:noProof/>
                <w:color w:val="000000" w:themeColor="text1"/>
              </w:rPr>
            </w:pPr>
            <w:r w:rsidRPr="00D713E4">
              <w:rPr>
                <w:b/>
                <w:bCs/>
                <w:noProof/>
                <w:color w:val="000000" w:themeColor="text1"/>
              </w:rPr>
              <w:t>2020</w:t>
            </w:r>
          </w:p>
        </w:tc>
        <w:tc>
          <w:tcPr>
            <w:tcW w:w="4621" w:type="dxa"/>
            <w:shd w:val="clear" w:color="auto" w:fill="00B0F0"/>
          </w:tcPr>
          <w:p w14:paraId="1DF60868" w14:textId="77777777" w:rsidR="00FB14C0" w:rsidRPr="00D713E4" w:rsidRDefault="00FB14C0" w:rsidP="007774D1">
            <w:pPr>
              <w:jc w:val="center"/>
              <w:rPr>
                <w:b/>
                <w:bCs/>
                <w:noProof/>
                <w:color w:val="000000" w:themeColor="text1"/>
              </w:rPr>
            </w:pPr>
            <w:r w:rsidRPr="00D713E4">
              <w:rPr>
                <w:b/>
                <w:bCs/>
                <w:noProof/>
                <w:color w:val="000000" w:themeColor="text1"/>
              </w:rPr>
              <w:t>2021</w:t>
            </w:r>
          </w:p>
        </w:tc>
      </w:tr>
      <w:tr w:rsidR="00FB14C0" w:rsidRPr="00D713E4" w14:paraId="67FD98E9" w14:textId="77777777" w:rsidTr="006C1CE5">
        <w:tc>
          <w:tcPr>
            <w:tcW w:w="4621" w:type="dxa"/>
          </w:tcPr>
          <w:p w14:paraId="4A2A986E" w14:textId="7FB723F9" w:rsidR="00FB14C0" w:rsidRPr="00D713E4" w:rsidRDefault="00BB562B" w:rsidP="007774D1">
            <w:pPr>
              <w:jc w:val="center"/>
              <w:rPr>
                <w:bCs/>
                <w:noProof/>
                <w:color w:val="000000" w:themeColor="text1"/>
              </w:rPr>
            </w:pPr>
            <w:r>
              <w:rPr>
                <w:bCs/>
                <w:noProof/>
                <w:color w:val="000000" w:themeColor="text1"/>
              </w:rPr>
              <w:t>1.</w:t>
            </w:r>
            <w:r w:rsidR="008D04A6">
              <w:rPr>
                <w:bCs/>
                <w:noProof/>
                <w:color w:val="000000" w:themeColor="text1"/>
              </w:rPr>
              <w:t>2</w:t>
            </w:r>
            <w:r>
              <w:rPr>
                <w:bCs/>
                <w:noProof/>
                <w:color w:val="000000" w:themeColor="text1"/>
              </w:rPr>
              <w:t>2</w:t>
            </w:r>
          </w:p>
        </w:tc>
        <w:tc>
          <w:tcPr>
            <w:tcW w:w="4621" w:type="dxa"/>
          </w:tcPr>
          <w:p w14:paraId="5F26A10F" w14:textId="2CA0428F" w:rsidR="00FB14C0" w:rsidRPr="00D713E4" w:rsidRDefault="00BB562B" w:rsidP="007774D1">
            <w:pPr>
              <w:jc w:val="center"/>
              <w:rPr>
                <w:bCs/>
                <w:noProof/>
                <w:color w:val="000000" w:themeColor="text1"/>
              </w:rPr>
            </w:pPr>
            <w:r>
              <w:rPr>
                <w:bCs/>
                <w:noProof/>
                <w:color w:val="000000" w:themeColor="text1"/>
              </w:rPr>
              <w:t>1.</w:t>
            </w:r>
            <w:r w:rsidR="00A6649D">
              <w:rPr>
                <w:bCs/>
                <w:noProof/>
                <w:color w:val="000000" w:themeColor="text1"/>
              </w:rPr>
              <w:t>0</w:t>
            </w:r>
            <w:r>
              <w:rPr>
                <w:bCs/>
                <w:noProof/>
                <w:color w:val="000000" w:themeColor="text1"/>
              </w:rPr>
              <w:t>2</w:t>
            </w:r>
          </w:p>
        </w:tc>
      </w:tr>
    </w:tbl>
    <w:p w14:paraId="5B05FFEB" w14:textId="4B70779B" w:rsidR="004114FC" w:rsidRDefault="002D062A" w:rsidP="002D062A">
      <w:pPr>
        <w:rPr>
          <w:color w:val="808080" w:themeColor="background1" w:themeShade="80"/>
          <w:sz w:val="16"/>
          <w:szCs w:val="16"/>
        </w:rPr>
      </w:pPr>
      <w:r w:rsidRPr="003C6295">
        <w:rPr>
          <w:color w:val="808080" w:themeColor="background1" w:themeShade="80"/>
          <w:sz w:val="16"/>
          <w:szCs w:val="16"/>
        </w:rPr>
        <w:t xml:space="preserve">Table 7 Relative likelihood of </w:t>
      </w:r>
      <w:r w:rsidR="005551A5">
        <w:rPr>
          <w:color w:val="808080" w:themeColor="background1" w:themeShade="80"/>
          <w:sz w:val="16"/>
          <w:szCs w:val="16"/>
        </w:rPr>
        <w:t>white staff accessing non</w:t>
      </w:r>
      <w:r w:rsidR="00DB512B">
        <w:rPr>
          <w:color w:val="808080" w:themeColor="background1" w:themeShade="80"/>
          <w:sz w:val="16"/>
          <w:szCs w:val="16"/>
        </w:rPr>
        <w:t>-</w:t>
      </w:r>
      <w:r w:rsidR="005551A5">
        <w:rPr>
          <w:color w:val="808080" w:themeColor="background1" w:themeShade="80"/>
          <w:sz w:val="16"/>
          <w:szCs w:val="16"/>
        </w:rPr>
        <w:t>mandatory training compared to BAME staff</w:t>
      </w:r>
    </w:p>
    <w:p w14:paraId="34A951C5" w14:textId="1B126E71" w:rsidR="00F74B63" w:rsidRDefault="00F74B63" w:rsidP="002D062A">
      <w:pPr>
        <w:rPr>
          <w:color w:val="808080" w:themeColor="background1" w:themeShade="80"/>
          <w:sz w:val="16"/>
          <w:szCs w:val="16"/>
        </w:rPr>
      </w:pPr>
    </w:p>
    <w:p w14:paraId="2D23A8A3" w14:textId="77777777" w:rsidR="00F74B63" w:rsidRDefault="00F74B63" w:rsidP="002D062A">
      <w:pPr>
        <w:rPr>
          <w:color w:val="808080" w:themeColor="background1" w:themeShade="80"/>
          <w:sz w:val="16"/>
          <w:szCs w:val="16"/>
        </w:rPr>
      </w:pPr>
    </w:p>
    <w:tbl>
      <w:tblPr>
        <w:tblStyle w:val="TableGrid"/>
        <w:tblW w:w="0" w:type="auto"/>
        <w:tblLook w:val="04A0" w:firstRow="1" w:lastRow="0" w:firstColumn="1" w:lastColumn="0" w:noHBand="0" w:noVBand="1"/>
      </w:tblPr>
      <w:tblGrid>
        <w:gridCol w:w="1496"/>
        <w:gridCol w:w="1491"/>
        <w:gridCol w:w="1564"/>
        <w:gridCol w:w="1492"/>
        <w:gridCol w:w="1491"/>
        <w:gridCol w:w="1482"/>
      </w:tblGrid>
      <w:tr w:rsidR="00F74B63" w:rsidRPr="00531D16" w14:paraId="0BF77EE0" w14:textId="77777777" w:rsidTr="007500E9">
        <w:tc>
          <w:tcPr>
            <w:tcW w:w="9016" w:type="dxa"/>
            <w:gridSpan w:val="6"/>
            <w:shd w:val="clear" w:color="auto" w:fill="00B0F0"/>
          </w:tcPr>
          <w:p w14:paraId="5A37063F" w14:textId="639BE8B2" w:rsidR="00F74B63" w:rsidRPr="00F74B63" w:rsidRDefault="00F74B63" w:rsidP="006C1CE5">
            <w:pPr>
              <w:jc w:val="center"/>
              <w:rPr>
                <w:b/>
                <w:bCs/>
                <w:noProof/>
                <w:lang w:eastAsia="en-GB"/>
              </w:rPr>
            </w:pPr>
            <w:r w:rsidRPr="00F74B63">
              <w:rPr>
                <w:b/>
                <w:bCs/>
                <w:color w:val="000000" w:themeColor="text1"/>
              </w:rPr>
              <w:t>Staff accessing non-mandatory training</w:t>
            </w:r>
          </w:p>
        </w:tc>
      </w:tr>
      <w:tr w:rsidR="004114FC" w:rsidRPr="00531D16" w14:paraId="0DD445C6" w14:textId="77777777" w:rsidTr="00F74B63">
        <w:tc>
          <w:tcPr>
            <w:tcW w:w="4551" w:type="dxa"/>
            <w:gridSpan w:val="3"/>
            <w:shd w:val="clear" w:color="auto" w:fill="00B0F0"/>
          </w:tcPr>
          <w:p w14:paraId="76A22242" w14:textId="77777777" w:rsidR="004114FC" w:rsidRPr="00531D16" w:rsidRDefault="004114FC" w:rsidP="006C1CE5">
            <w:pPr>
              <w:jc w:val="center"/>
              <w:rPr>
                <w:b/>
                <w:bCs/>
                <w:noProof/>
                <w:lang w:eastAsia="en-GB"/>
              </w:rPr>
            </w:pPr>
            <w:r w:rsidRPr="00531D16">
              <w:rPr>
                <w:b/>
                <w:bCs/>
                <w:noProof/>
                <w:lang w:eastAsia="en-GB"/>
              </w:rPr>
              <w:t>20</w:t>
            </w:r>
            <w:r>
              <w:rPr>
                <w:b/>
                <w:bCs/>
                <w:noProof/>
                <w:lang w:eastAsia="en-GB"/>
              </w:rPr>
              <w:t>20</w:t>
            </w:r>
          </w:p>
        </w:tc>
        <w:tc>
          <w:tcPr>
            <w:tcW w:w="4465" w:type="dxa"/>
            <w:gridSpan w:val="3"/>
            <w:shd w:val="clear" w:color="auto" w:fill="00B0F0"/>
          </w:tcPr>
          <w:p w14:paraId="450938C9" w14:textId="77777777" w:rsidR="004114FC" w:rsidRPr="00531D16" w:rsidRDefault="004114FC" w:rsidP="006C1CE5">
            <w:pPr>
              <w:jc w:val="center"/>
              <w:rPr>
                <w:b/>
                <w:bCs/>
                <w:noProof/>
                <w:lang w:eastAsia="en-GB"/>
              </w:rPr>
            </w:pPr>
            <w:r w:rsidRPr="00531D16">
              <w:rPr>
                <w:b/>
                <w:bCs/>
                <w:noProof/>
                <w:lang w:eastAsia="en-GB"/>
              </w:rPr>
              <w:t>202</w:t>
            </w:r>
            <w:r>
              <w:rPr>
                <w:b/>
                <w:bCs/>
                <w:noProof/>
                <w:lang w:eastAsia="en-GB"/>
              </w:rPr>
              <w:t>1</w:t>
            </w:r>
          </w:p>
        </w:tc>
      </w:tr>
      <w:tr w:rsidR="004114FC" w:rsidRPr="00531D16" w14:paraId="463EBAD5" w14:textId="77777777" w:rsidTr="00F74B63">
        <w:tc>
          <w:tcPr>
            <w:tcW w:w="1496" w:type="dxa"/>
            <w:shd w:val="clear" w:color="auto" w:fill="00B0F0"/>
          </w:tcPr>
          <w:p w14:paraId="23856CBC" w14:textId="77777777" w:rsidR="004114FC" w:rsidRPr="00531D16" w:rsidRDefault="004114FC" w:rsidP="006C1CE5">
            <w:pPr>
              <w:jc w:val="center"/>
              <w:rPr>
                <w:b/>
                <w:bCs/>
                <w:noProof/>
                <w:lang w:eastAsia="en-GB"/>
              </w:rPr>
            </w:pPr>
            <w:r w:rsidRPr="00531D16">
              <w:rPr>
                <w:b/>
                <w:bCs/>
                <w:noProof/>
                <w:lang w:eastAsia="en-GB"/>
              </w:rPr>
              <w:t>White staff</w:t>
            </w:r>
          </w:p>
        </w:tc>
        <w:tc>
          <w:tcPr>
            <w:tcW w:w="1491" w:type="dxa"/>
            <w:shd w:val="clear" w:color="auto" w:fill="00B0F0"/>
          </w:tcPr>
          <w:p w14:paraId="50A93DCA" w14:textId="77777777" w:rsidR="004114FC" w:rsidRPr="00531D16" w:rsidRDefault="004114FC" w:rsidP="006C1CE5">
            <w:pPr>
              <w:jc w:val="center"/>
              <w:rPr>
                <w:b/>
                <w:bCs/>
                <w:noProof/>
                <w:lang w:eastAsia="en-GB"/>
              </w:rPr>
            </w:pPr>
            <w:r w:rsidRPr="00531D16">
              <w:rPr>
                <w:b/>
                <w:bCs/>
                <w:noProof/>
                <w:lang w:eastAsia="en-GB"/>
              </w:rPr>
              <w:t>BAME staff</w:t>
            </w:r>
          </w:p>
        </w:tc>
        <w:tc>
          <w:tcPr>
            <w:tcW w:w="1564" w:type="dxa"/>
            <w:shd w:val="clear" w:color="auto" w:fill="00B0F0"/>
          </w:tcPr>
          <w:p w14:paraId="07B451E4" w14:textId="77777777" w:rsidR="004114FC" w:rsidRPr="00531D16" w:rsidRDefault="004114FC" w:rsidP="006C1CE5">
            <w:pPr>
              <w:jc w:val="center"/>
              <w:rPr>
                <w:b/>
                <w:bCs/>
                <w:noProof/>
                <w:lang w:eastAsia="en-GB"/>
              </w:rPr>
            </w:pPr>
            <w:r w:rsidRPr="00531D16">
              <w:rPr>
                <w:b/>
                <w:bCs/>
                <w:noProof/>
                <w:lang w:eastAsia="en-GB"/>
              </w:rPr>
              <w:t>Ethnicity Unknown</w:t>
            </w:r>
          </w:p>
        </w:tc>
        <w:tc>
          <w:tcPr>
            <w:tcW w:w="1492" w:type="dxa"/>
            <w:shd w:val="clear" w:color="auto" w:fill="00B0F0"/>
          </w:tcPr>
          <w:p w14:paraId="2BB653B3" w14:textId="77777777" w:rsidR="004114FC" w:rsidRPr="00531D16" w:rsidRDefault="004114FC" w:rsidP="006C1CE5">
            <w:pPr>
              <w:jc w:val="center"/>
              <w:rPr>
                <w:b/>
                <w:bCs/>
                <w:noProof/>
                <w:lang w:eastAsia="en-GB"/>
              </w:rPr>
            </w:pPr>
            <w:r w:rsidRPr="00531D16">
              <w:rPr>
                <w:b/>
                <w:bCs/>
                <w:noProof/>
                <w:lang w:eastAsia="en-GB"/>
              </w:rPr>
              <w:t>White staff</w:t>
            </w:r>
          </w:p>
        </w:tc>
        <w:tc>
          <w:tcPr>
            <w:tcW w:w="1491" w:type="dxa"/>
            <w:shd w:val="clear" w:color="auto" w:fill="00B0F0"/>
          </w:tcPr>
          <w:p w14:paraId="0CB5B287" w14:textId="77777777" w:rsidR="004114FC" w:rsidRPr="00531D16" w:rsidRDefault="004114FC" w:rsidP="006C1CE5">
            <w:pPr>
              <w:jc w:val="center"/>
              <w:rPr>
                <w:b/>
                <w:bCs/>
                <w:noProof/>
                <w:lang w:eastAsia="en-GB"/>
              </w:rPr>
            </w:pPr>
            <w:r w:rsidRPr="00531D16">
              <w:rPr>
                <w:b/>
                <w:bCs/>
                <w:noProof/>
                <w:lang w:eastAsia="en-GB"/>
              </w:rPr>
              <w:t>BAME staff</w:t>
            </w:r>
          </w:p>
        </w:tc>
        <w:tc>
          <w:tcPr>
            <w:tcW w:w="1482" w:type="dxa"/>
            <w:shd w:val="clear" w:color="auto" w:fill="00B0F0"/>
          </w:tcPr>
          <w:p w14:paraId="318E96DF" w14:textId="77777777" w:rsidR="004114FC" w:rsidRPr="00531D16" w:rsidRDefault="004114FC" w:rsidP="006C1CE5">
            <w:pPr>
              <w:jc w:val="center"/>
              <w:rPr>
                <w:b/>
                <w:bCs/>
                <w:noProof/>
                <w:lang w:eastAsia="en-GB"/>
              </w:rPr>
            </w:pPr>
            <w:r w:rsidRPr="00531D16">
              <w:rPr>
                <w:b/>
                <w:bCs/>
                <w:noProof/>
                <w:lang w:eastAsia="en-GB"/>
              </w:rPr>
              <w:t>Ethnicity Unknown</w:t>
            </w:r>
          </w:p>
        </w:tc>
      </w:tr>
      <w:tr w:rsidR="004114FC" w14:paraId="7FEBD740" w14:textId="77777777" w:rsidTr="00F74B63">
        <w:tc>
          <w:tcPr>
            <w:tcW w:w="1496" w:type="dxa"/>
          </w:tcPr>
          <w:p w14:paraId="6F9264B4" w14:textId="23749C91" w:rsidR="004114FC" w:rsidRDefault="00F41500" w:rsidP="006C1CE5">
            <w:pPr>
              <w:jc w:val="center"/>
              <w:rPr>
                <w:noProof/>
                <w:lang w:eastAsia="en-GB"/>
              </w:rPr>
            </w:pPr>
            <w:r>
              <w:rPr>
                <w:noProof/>
                <w:lang w:eastAsia="en-GB"/>
              </w:rPr>
              <w:t>1668</w:t>
            </w:r>
          </w:p>
        </w:tc>
        <w:tc>
          <w:tcPr>
            <w:tcW w:w="1491" w:type="dxa"/>
          </w:tcPr>
          <w:p w14:paraId="5E2E39BC" w14:textId="72D2905E" w:rsidR="004114FC" w:rsidRDefault="00F41500" w:rsidP="006C1CE5">
            <w:pPr>
              <w:jc w:val="center"/>
              <w:rPr>
                <w:noProof/>
                <w:lang w:eastAsia="en-GB"/>
              </w:rPr>
            </w:pPr>
            <w:r>
              <w:rPr>
                <w:noProof/>
                <w:lang w:eastAsia="en-GB"/>
              </w:rPr>
              <w:t>139</w:t>
            </w:r>
          </w:p>
        </w:tc>
        <w:tc>
          <w:tcPr>
            <w:tcW w:w="1564" w:type="dxa"/>
          </w:tcPr>
          <w:p w14:paraId="2E69D450" w14:textId="7B3D3E6D" w:rsidR="004114FC" w:rsidRDefault="00F41500" w:rsidP="006C1CE5">
            <w:pPr>
              <w:jc w:val="center"/>
              <w:rPr>
                <w:noProof/>
                <w:lang w:eastAsia="en-GB"/>
              </w:rPr>
            </w:pPr>
            <w:r>
              <w:rPr>
                <w:noProof/>
                <w:lang w:eastAsia="en-GB"/>
              </w:rPr>
              <w:t>15</w:t>
            </w:r>
          </w:p>
        </w:tc>
        <w:tc>
          <w:tcPr>
            <w:tcW w:w="1492" w:type="dxa"/>
          </w:tcPr>
          <w:p w14:paraId="2D02D3EF" w14:textId="5687D6FF" w:rsidR="004114FC" w:rsidRDefault="00A34541" w:rsidP="006C1CE5">
            <w:pPr>
              <w:jc w:val="center"/>
              <w:rPr>
                <w:noProof/>
                <w:lang w:eastAsia="en-GB"/>
              </w:rPr>
            </w:pPr>
            <w:r>
              <w:rPr>
                <w:noProof/>
                <w:lang w:eastAsia="en-GB"/>
              </w:rPr>
              <w:t>2256</w:t>
            </w:r>
          </w:p>
        </w:tc>
        <w:tc>
          <w:tcPr>
            <w:tcW w:w="1491" w:type="dxa"/>
          </w:tcPr>
          <w:p w14:paraId="60894D9E" w14:textId="53B7A409" w:rsidR="004114FC" w:rsidRDefault="00A34541" w:rsidP="006C1CE5">
            <w:pPr>
              <w:jc w:val="center"/>
              <w:rPr>
                <w:noProof/>
                <w:lang w:eastAsia="en-GB"/>
              </w:rPr>
            </w:pPr>
            <w:r>
              <w:rPr>
                <w:noProof/>
                <w:lang w:eastAsia="en-GB"/>
              </w:rPr>
              <w:t>228</w:t>
            </w:r>
          </w:p>
        </w:tc>
        <w:tc>
          <w:tcPr>
            <w:tcW w:w="1482" w:type="dxa"/>
          </w:tcPr>
          <w:p w14:paraId="0E737F6B" w14:textId="58A63FD9" w:rsidR="004114FC" w:rsidRDefault="00A34541" w:rsidP="006C1CE5">
            <w:pPr>
              <w:jc w:val="center"/>
              <w:rPr>
                <w:noProof/>
                <w:lang w:eastAsia="en-GB"/>
              </w:rPr>
            </w:pPr>
            <w:r>
              <w:rPr>
                <w:noProof/>
                <w:lang w:eastAsia="en-GB"/>
              </w:rPr>
              <w:t>20</w:t>
            </w:r>
          </w:p>
        </w:tc>
      </w:tr>
    </w:tbl>
    <w:p w14:paraId="449DF2B6" w14:textId="0131E145" w:rsidR="004114FC" w:rsidRDefault="004114FC" w:rsidP="004114FC">
      <w:pPr>
        <w:rPr>
          <w:color w:val="808080" w:themeColor="background1" w:themeShade="80"/>
          <w:sz w:val="16"/>
          <w:szCs w:val="16"/>
        </w:rPr>
      </w:pPr>
      <w:r w:rsidRPr="003C6295">
        <w:rPr>
          <w:color w:val="808080" w:themeColor="background1" w:themeShade="80"/>
          <w:sz w:val="16"/>
          <w:szCs w:val="16"/>
        </w:rPr>
        <w:t xml:space="preserve">Table </w:t>
      </w:r>
      <w:r>
        <w:rPr>
          <w:color w:val="808080" w:themeColor="background1" w:themeShade="80"/>
          <w:sz w:val="16"/>
          <w:szCs w:val="16"/>
        </w:rPr>
        <w:t>8 Amount of staff accessing non-mandatory training</w:t>
      </w:r>
    </w:p>
    <w:p w14:paraId="48B57B7A" w14:textId="67FDD82F" w:rsidR="00873187" w:rsidRPr="0047489A" w:rsidRDefault="0047489A" w:rsidP="00873187">
      <w:pPr>
        <w:rPr>
          <w:bCs/>
          <w:noProof/>
          <w:color w:val="000000" w:themeColor="text1"/>
        </w:rPr>
      </w:pPr>
      <w:r>
        <w:rPr>
          <w:bCs/>
          <w:noProof/>
          <w:color w:val="000000" w:themeColor="text1"/>
        </w:rPr>
        <w:t>There has been a sl</w:t>
      </w:r>
      <w:r w:rsidR="00EE2EF0">
        <w:rPr>
          <w:bCs/>
          <w:noProof/>
          <w:color w:val="000000" w:themeColor="text1"/>
        </w:rPr>
        <w:t xml:space="preserve">ight </w:t>
      </w:r>
      <w:r w:rsidR="00A6649D">
        <w:rPr>
          <w:bCs/>
          <w:noProof/>
          <w:color w:val="000000" w:themeColor="text1"/>
        </w:rPr>
        <w:t>positive</w:t>
      </w:r>
      <w:r w:rsidR="00EE2EF0">
        <w:rPr>
          <w:bCs/>
          <w:noProof/>
          <w:color w:val="000000" w:themeColor="text1"/>
        </w:rPr>
        <w:t xml:space="preserve"> change in</w:t>
      </w:r>
      <w:r w:rsidR="00A34541">
        <w:rPr>
          <w:bCs/>
          <w:noProof/>
          <w:color w:val="000000" w:themeColor="text1"/>
        </w:rPr>
        <w:t xml:space="preserve"> </w:t>
      </w:r>
      <w:r w:rsidR="00EE2EF0">
        <w:rPr>
          <w:bCs/>
          <w:noProof/>
          <w:color w:val="000000" w:themeColor="text1"/>
        </w:rPr>
        <w:t xml:space="preserve">this indicator. </w:t>
      </w:r>
      <w:r w:rsidR="00F94EE1">
        <w:rPr>
          <w:bCs/>
          <w:noProof/>
          <w:color w:val="000000" w:themeColor="text1"/>
        </w:rPr>
        <w:t>However, the raw data</w:t>
      </w:r>
      <w:r w:rsidR="00973C3C">
        <w:rPr>
          <w:bCs/>
          <w:noProof/>
          <w:color w:val="000000" w:themeColor="text1"/>
        </w:rPr>
        <w:t xml:space="preserve"> shows</w:t>
      </w:r>
      <w:r w:rsidR="00F94EE1">
        <w:rPr>
          <w:bCs/>
          <w:noProof/>
          <w:color w:val="000000" w:themeColor="text1"/>
        </w:rPr>
        <w:t xml:space="preserve"> there has been a s</w:t>
      </w:r>
      <w:r w:rsidR="005704A0">
        <w:rPr>
          <w:bCs/>
          <w:noProof/>
          <w:color w:val="000000" w:themeColor="text1"/>
        </w:rPr>
        <w:t>i</w:t>
      </w:r>
      <w:r w:rsidR="00F94EE1">
        <w:rPr>
          <w:bCs/>
          <w:noProof/>
          <w:color w:val="000000" w:themeColor="text1"/>
        </w:rPr>
        <w:t>gnificant increase in both white and BAME staff access</w:t>
      </w:r>
      <w:r w:rsidR="00A40789">
        <w:rPr>
          <w:bCs/>
          <w:noProof/>
          <w:color w:val="000000" w:themeColor="text1"/>
        </w:rPr>
        <w:t>i</w:t>
      </w:r>
      <w:r w:rsidR="00F94EE1">
        <w:rPr>
          <w:bCs/>
          <w:noProof/>
          <w:color w:val="000000" w:themeColor="text1"/>
        </w:rPr>
        <w:t>ng non-mandatory training.  This may in some part</w:t>
      </w:r>
      <w:r w:rsidR="000D3A78">
        <w:rPr>
          <w:bCs/>
          <w:noProof/>
          <w:color w:val="000000" w:themeColor="text1"/>
        </w:rPr>
        <w:t xml:space="preserve"> be explained by the impact of Covid-19.  The pandemic meant that</w:t>
      </w:r>
      <w:r w:rsidR="005704A0">
        <w:rPr>
          <w:bCs/>
          <w:noProof/>
          <w:color w:val="000000" w:themeColor="text1"/>
        </w:rPr>
        <w:t xml:space="preserve"> some</w:t>
      </w:r>
      <w:r w:rsidR="000D3A78">
        <w:rPr>
          <w:bCs/>
          <w:noProof/>
          <w:color w:val="000000" w:themeColor="text1"/>
        </w:rPr>
        <w:t xml:space="preserve"> staff were redeployed </w:t>
      </w:r>
      <w:r w:rsidR="005704A0">
        <w:rPr>
          <w:bCs/>
          <w:noProof/>
          <w:color w:val="000000" w:themeColor="text1"/>
        </w:rPr>
        <w:t>and therefore had to undertake training in order to take on their new role.</w:t>
      </w:r>
      <w:r w:rsidR="0059659A">
        <w:rPr>
          <w:bCs/>
          <w:noProof/>
          <w:color w:val="000000" w:themeColor="text1"/>
        </w:rPr>
        <w:t xml:space="preserve">  Nevertheless, this cannot be assumed to be the only rea</w:t>
      </w:r>
      <w:r w:rsidR="004823F9">
        <w:rPr>
          <w:bCs/>
          <w:noProof/>
          <w:color w:val="000000" w:themeColor="text1"/>
        </w:rPr>
        <w:t>son and Solent needs to continue to</w:t>
      </w:r>
      <w:r w:rsidR="00A6649D">
        <w:rPr>
          <w:bCs/>
          <w:noProof/>
          <w:color w:val="000000" w:themeColor="text1"/>
        </w:rPr>
        <w:t xml:space="preserve"> maintain this positive</w:t>
      </w:r>
      <w:r w:rsidR="001D4E50" w:rsidRPr="001D4E50">
        <w:rPr>
          <w:bCs/>
          <w:noProof/>
          <w:color w:val="000000" w:themeColor="text1"/>
        </w:rPr>
        <w:t xml:space="preserve"> trajectory </w:t>
      </w:r>
      <w:r w:rsidR="004823F9">
        <w:rPr>
          <w:bCs/>
          <w:noProof/>
          <w:color w:val="000000" w:themeColor="text1"/>
        </w:rPr>
        <w:t xml:space="preserve"> </w:t>
      </w:r>
      <w:r w:rsidR="00FA3DDF">
        <w:rPr>
          <w:bCs/>
          <w:noProof/>
          <w:color w:val="000000" w:themeColor="text1"/>
        </w:rPr>
        <w:t xml:space="preserve">which </w:t>
      </w:r>
      <w:r w:rsidR="00A96296">
        <w:rPr>
          <w:bCs/>
          <w:noProof/>
          <w:color w:val="000000" w:themeColor="text1"/>
        </w:rPr>
        <w:t xml:space="preserve">it is anticipated will </w:t>
      </w:r>
      <w:r w:rsidR="00FA3DDF">
        <w:rPr>
          <w:bCs/>
          <w:noProof/>
          <w:color w:val="000000" w:themeColor="text1"/>
        </w:rPr>
        <w:t xml:space="preserve"> be </w:t>
      </w:r>
      <w:r w:rsidR="009866B4">
        <w:rPr>
          <w:bCs/>
          <w:noProof/>
          <w:color w:val="000000" w:themeColor="text1"/>
        </w:rPr>
        <w:t>improved</w:t>
      </w:r>
      <w:r w:rsidR="00FA3DDF">
        <w:rPr>
          <w:bCs/>
          <w:noProof/>
          <w:color w:val="000000" w:themeColor="text1"/>
        </w:rPr>
        <w:t xml:space="preserve"> by the new </w:t>
      </w:r>
      <w:r w:rsidR="009866B4">
        <w:rPr>
          <w:bCs/>
          <w:noProof/>
          <w:color w:val="000000" w:themeColor="text1"/>
        </w:rPr>
        <w:t>Learning Management System.</w:t>
      </w:r>
    </w:p>
    <w:p w14:paraId="189FA236" w14:textId="6B63C993" w:rsidR="00873187" w:rsidRDefault="00873187" w:rsidP="00087E07"/>
    <w:p w14:paraId="1B35A432" w14:textId="47C44A47" w:rsidR="0086535B" w:rsidRDefault="0086535B" w:rsidP="0086535B">
      <w:pPr>
        <w:rPr>
          <w:b/>
          <w:noProof/>
          <w:color w:val="AE2573"/>
        </w:rPr>
      </w:pPr>
      <w:r w:rsidRPr="00DA6E3A">
        <w:rPr>
          <w:b/>
          <w:noProof/>
          <w:color w:val="AE2573"/>
        </w:rPr>
        <w:t xml:space="preserve">Indicator </w:t>
      </w:r>
      <w:r>
        <w:rPr>
          <w:b/>
          <w:noProof/>
          <w:color w:val="AE2573"/>
        </w:rPr>
        <w:t>5</w:t>
      </w:r>
    </w:p>
    <w:tbl>
      <w:tblPr>
        <w:tblStyle w:val="TableGrid"/>
        <w:tblW w:w="0" w:type="auto"/>
        <w:tblLook w:val="04A0" w:firstRow="1" w:lastRow="0" w:firstColumn="1" w:lastColumn="0" w:noHBand="0" w:noVBand="1"/>
      </w:tblPr>
      <w:tblGrid>
        <w:gridCol w:w="2304"/>
        <w:gridCol w:w="2131"/>
        <w:gridCol w:w="2399"/>
        <w:gridCol w:w="2182"/>
      </w:tblGrid>
      <w:tr w:rsidR="00F74B63" w:rsidRPr="00D713E4" w14:paraId="27527F45" w14:textId="77777777" w:rsidTr="00D343B3">
        <w:tc>
          <w:tcPr>
            <w:tcW w:w="9016" w:type="dxa"/>
            <w:gridSpan w:val="4"/>
            <w:shd w:val="clear" w:color="auto" w:fill="00B0F0"/>
          </w:tcPr>
          <w:p w14:paraId="7AB5B0F4" w14:textId="74010E41" w:rsidR="00F74B63" w:rsidRPr="00E27220" w:rsidRDefault="00E27220" w:rsidP="00E27220">
            <w:pPr>
              <w:rPr>
                <w:b/>
                <w:bCs/>
                <w:noProof/>
                <w:color w:val="000000" w:themeColor="text1"/>
              </w:rPr>
            </w:pPr>
            <w:r w:rsidRPr="00E27220">
              <w:rPr>
                <w:rFonts w:cstheme="minorHAnsi"/>
                <w:b/>
                <w:bCs/>
                <w:color w:val="000000" w:themeColor="text1"/>
              </w:rPr>
              <w:t>Staff experiencing harassment, bullying and abuse from patients’ relatives or the public in the last 12 months</w:t>
            </w:r>
          </w:p>
        </w:tc>
      </w:tr>
      <w:tr w:rsidR="00346884" w:rsidRPr="00D713E4" w14:paraId="2EC07034" w14:textId="197168CC" w:rsidTr="00F74B63">
        <w:tc>
          <w:tcPr>
            <w:tcW w:w="4435" w:type="dxa"/>
            <w:gridSpan w:val="2"/>
            <w:shd w:val="clear" w:color="auto" w:fill="00B0F0"/>
          </w:tcPr>
          <w:p w14:paraId="41EF887C" w14:textId="043347DD" w:rsidR="00346884" w:rsidRPr="00D713E4" w:rsidRDefault="00346884" w:rsidP="007774D1">
            <w:pPr>
              <w:jc w:val="center"/>
              <w:rPr>
                <w:b/>
                <w:bCs/>
                <w:noProof/>
                <w:color w:val="000000" w:themeColor="text1"/>
              </w:rPr>
            </w:pPr>
            <w:r w:rsidRPr="00D713E4">
              <w:rPr>
                <w:b/>
                <w:bCs/>
                <w:noProof/>
                <w:color w:val="000000" w:themeColor="text1"/>
              </w:rPr>
              <w:t>2020</w:t>
            </w:r>
          </w:p>
        </w:tc>
        <w:tc>
          <w:tcPr>
            <w:tcW w:w="4581" w:type="dxa"/>
            <w:gridSpan w:val="2"/>
            <w:shd w:val="clear" w:color="auto" w:fill="00B0F0"/>
          </w:tcPr>
          <w:p w14:paraId="2ECE098A" w14:textId="7CBFA0F8" w:rsidR="00346884" w:rsidRPr="00D713E4" w:rsidRDefault="00346884" w:rsidP="007774D1">
            <w:pPr>
              <w:jc w:val="center"/>
              <w:rPr>
                <w:b/>
                <w:bCs/>
                <w:noProof/>
                <w:color w:val="000000" w:themeColor="text1"/>
              </w:rPr>
            </w:pPr>
            <w:r w:rsidRPr="00D713E4">
              <w:rPr>
                <w:b/>
                <w:bCs/>
                <w:noProof/>
                <w:color w:val="000000" w:themeColor="text1"/>
              </w:rPr>
              <w:t>2021</w:t>
            </w:r>
          </w:p>
        </w:tc>
      </w:tr>
      <w:tr w:rsidR="00EB317F" w:rsidRPr="00D713E4" w14:paraId="016B89BD" w14:textId="4359C495" w:rsidTr="00F74B63">
        <w:tc>
          <w:tcPr>
            <w:tcW w:w="2304" w:type="dxa"/>
            <w:shd w:val="clear" w:color="auto" w:fill="00B0F0"/>
          </w:tcPr>
          <w:p w14:paraId="1F166406" w14:textId="7675F907" w:rsidR="00EB317F" w:rsidRPr="00D713E4" w:rsidRDefault="00A30381" w:rsidP="007774D1">
            <w:pPr>
              <w:jc w:val="center"/>
              <w:rPr>
                <w:b/>
                <w:bCs/>
                <w:noProof/>
                <w:color w:val="000000" w:themeColor="text1"/>
              </w:rPr>
            </w:pPr>
            <w:r>
              <w:rPr>
                <w:b/>
                <w:bCs/>
                <w:noProof/>
                <w:color w:val="000000" w:themeColor="text1"/>
              </w:rPr>
              <w:t>White</w:t>
            </w:r>
          </w:p>
        </w:tc>
        <w:tc>
          <w:tcPr>
            <w:tcW w:w="2131" w:type="dxa"/>
            <w:shd w:val="clear" w:color="auto" w:fill="00B0F0"/>
          </w:tcPr>
          <w:p w14:paraId="3B7B081C" w14:textId="5546762D" w:rsidR="00EB317F" w:rsidRPr="00D713E4" w:rsidRDefault="00A30381" w:rsidP="007774D1">
            <w:pPr>
              <w:jc w:val="center"/>
              <w:rPr>
                <w:b/>
                <w:bCs/>
                <w:noProof/>
                <w:color w:val="000000" w:themeColor="text1"/>
              </w:rPr>
            </w:pPr>
            <w:r>
              <w:rPr>
                <w:b/>
                <w:bCs/>
                <w:noProof/>
                <w:color w:val="000000" w:themeColor="text1"/>
              </w:rPr>
              <w:t>BAME</w:t>
            </w:r>
          </w:p>
        </w:tc>
        <w:tc>
          <w:tcPr>
            <w:tcW w:w="2399" w:type="dxa"/>
            <w:shd w:val="clear" w:color="auto" w:fill="00B0F0"/>
          </w:tcPr>
          <w:p w14:paraId="3907F5C0" w14:textId="1ED2E34D" w:rsidR="00EB317F" w:rsidRPr="00D713E4" w:rsidRDefault="00A30381" w:rsidP="007774D1">
            <w:pPr>
              <w:jc w:val="center"/>
              <w:rPr>
                <w:b/>
                <w:bCs/>
                <w:noProof/>
                <w:color w:val="000000" w:themeColor="text1"/>
              </w:rPr>
            </w:pPr>
            <w:r>
              <w:rPr>
                <w:b/>
                <w:bCs/>
                <w:noProof/>
                <w:color w:val="000000" w:themeColor="text1"/>
              </w:rPr>
              <w:t>White</w:t>
            </w:r>
          </w:p>
        </w:tc>
        <w:tc>
          <w:tcPr>
            <w:tcW w:w="2182" w:type="dxa"/>
            <w:shd w:val="clear" w:color="auto" w:fill="00B0F0"/>
          </w:tcPr>
          <w:p w14:paraId="65D7523B" w14:textId="78DF3662" w:rsidR="00EB317F" w:rsidRPr="00D713E4" w:rsidRDefault="00A30381" w:rsidP="007774D1">
            <w:pPr>
              <w:jc w:val="center"/>
              <w:rPr>
                <w:b/>
                <w:bCs/>
                <w:noProof/>
                <w:color w:val="000000" w:themeColor="text1"/>
              </w:rPr>
            </w:pPr>
            <w:r>
              <w:rPr>
                <w:b/>
                <w:bCs/>
                <w:noProof/>
                <w:color w:val="000000" w:themeColor="text1"/>
              </w:rPr>
              <w:t>B</w:t>
            </w:r>
            <w:r w:rsidR="005D1CF0">
              <w:rPr>
                <w:b/>
                <w:bCs/>
                <w:noProof/>
                <w:color w:val="000000" w:themeColor="text1"/>
              </w:rPr>
              <w:t>AME</w:t>
            </w:r>
          </w:p>
        </w:tc>
      </w:tr>
      <w:tr w:rsidR="00EB317F" w:rsidRPr="00D713E4" w14:paraId="688354B7" w14:textId="42BA1ADD" w:rsidTr="00F74B63">
        <w:tc>
          <w:tcPr>
            <w:tcW w:w="2304" w:type="dxa"/>
          </w:tcPr>
          <w:p w14:paraId="279D5A34" w14:textId="33A0CE54" w:rsidR="00EB317F" w:rsidRPr="00D713E4" w:rsidRDefault="00346884" w:rsidP="007774D1">
            <w:pPr>
              <w:jc w:val="center"/>
              <w:rPr>
                <w:bCs/>
                <w:noProof/>
                <w:color w:val="000000" w:themeColor="text1"/>
              </w:rPr>
            </w:pPr>
            <w:r>
              <w:rPr>
                <w:bCs/>
                <w:noProof/>
                <w:color w:val="000000" w:themeColor="text1"/>
              </w:rPr>
              <w:t>20.4%</w:t>
            </w:r>
          </w:p>
        </w:tc>
        <w:tc>
          <w:tcPr>
            <w:tcW w:w="2131" w:type="dxa"/>
          </w:tcPr>
          <w:p w14:paraId="69905A63" w14:textId="2F1F8BA3" w:rsidR="00EB317F" w:rsidRDefault="00A30381" w:rsidP="007774D1">
            <w:pPr>
              <w:jc w:val="center"/>
              <w:rPr>
                <w:bCs/>
                <w:noProof/>
                <w:color w:val="000000" w:themeColor="text1"/>
              </w:rPr>
            </w:pPr>
            <w:r>
              <w:rPr>
                <w:bCs/>
                <w:noProof/>
                <w:color w:val="000000" w:themeColor="text1"/>
              </w:rPr>
              <w:t>25.5%</w:t>
            </w:r>
          </w:p>
        </w:tc>
        <w:tc>
          <w:tcPr>
            <w:tcW w:w="2399" w:type="dxa"/>
          </w:tcPr>
          <w:p w14:paraId="5A9A322A" w14:textId="1AC1E9D5" w:rsidR="00EB317F" w:rsidRPr="00D713E4" w:rsidRDefault="00346884" w:rsidP="007774D1">
            <w:pPr>
              <w:jc w:val="center"/>
              <w:rPr>
                <w:bCs/>
                <w:noProof/>
                <w:color w:val="000000" w:themeColor="text1"/>
              </w:rPr>
            </w:pPr>
            <w:r>
              <w:rPr>
                <w:bCs/>
                <w:noProof/>
                <w:color w:val="000000" w:themeColor="text1"/>
              </w:rPr>
              <w:t>19.5%</w:t>
            </w:r>
          </w:p>
        </w:tc>
        <w:tc>
          <w:tcPr>
            <w:tcW w:w="2182" w:type="dxa"/>
          </w:tcPr>
          <w:p w14:paraId="78A566AD" w14:textId="3EDF33F5" w:rsidR="00EB317F" w:rsidRDefault="00A30381" w:rsidP="007774D1">
            <w:pPr>
              <w:jc w:val="center"/>
              <w:rPr>
                <w:bCs/>
                <w:noProof/>
                <w:color w:val="000000" w:themeColor="text1"/>
              </w:rPr>
            </w:pPr>
            <w:r>
              <w:rPr>
                <w:bCs/>
                <w:noProof/>
                <w:color w:val="000000" w:themeColor="text1"/>
              </w:rPr>
              <w:t>24.3%</w:t>
            </w:r>
          </w:p>
        </w:tc>
      </w:tr>
    </w:tbl>
    <w:p w14:paraId="6E38FC58" w14:textId="29F2078D" w:rsidR="0086535B" w:rsidRDefault="00C34FD2" w:rsidP="00087E07">
      <w:r w:rsidRPr="003C6295">
        <w:rPr>
          <w:color w:val="808080" w:themeColor="background1" w:themeShade="80"/>
          <w:sz w:val="16"/>
          <w:szCs w:val="16"/>
        </w:rPr>
        <w:t xml:space="preserve">Table </w:t>
      </w:r>
      <w:r>
        <w:rPr>
          <w:color w:val="808080" w:themeColor="background1" w:themeShade="80"/>
          <w:sz w:val="16"/>
          <w:szCs w:val="16"/>
        </w:rPr>
        <w:t xml:space="preserve">9 </w:t>
      </w:r>
      <w:r w:rsidRPr="00C34FD2">
        <w:rPr>
          <w:rFonts w:cstheme="minorHAnsi"/>
          <w:color w:val="808080" w:themeColor="background1" w:themeShade="80"/>
          <w:sz w:val="16"/>
          <w:szCs w:val="16"/>
        </w:rPr>
        <w:t>Percentage of staff experiencing harassment, bullying and abuse from patients’ relatives or the public in the last 12 months</w:t>
      </w:r>
    </w:p>
    <w:p w14:paraId="12DEEC69" w14:textId="7B39D4B3" w:rsidR="00E04B22" w:rsidRPr="00E04B22" w:rsidRDefault="009648E3" w:rsidP="00E04B22">
      <w:pPr>
        <w:pStyle w:val="wordsection1"/>
        <w:spacing w:before="0" w:beforeAutospacing="0" w:after="0" w:afterAutospacing="0" w:line="276" w:lineRule="auto"/>
        <w:rPr>
          <w:rFonts w:asciiTheme="minorHAnsi" w:hAnsiTheme="minorHAnsi" w:cstheme="minorHAnsi"/>
        </w:rPr>
      </w:pPr>
      <w:r>
        <w:t xml:space="preserve">There has been a small drop in the number of staff experiencing </w:t>
      </w:r>
      <w:r w:rsidRPr="0021074F">
        <w:rPr>
          <w:rFonts w:cstheme="minorHAnsi"/>
        </w:rPr>
        <w:t>harassment, bullying and abuse from patients’</w:t>
      </w:r>
      <w:r w:rsidR="005908DE">
        <w:rPr>
          <w:rFonts w:cstheme="minorHAnsi"/>
        </w:rPr>
        <w:t>,</w:t>
      </w:r>
      <w:r w:rsidRPr="0021074F">
        <w:rPr>
          <w:rFonts w:cstheme="minorHAnsi"/>
        </w:rPr>
        <w:t xml:space="preserve"> </w:t>
      </w:r>
      <w:r w:rsidR="007E52BD" w:rsidRPr="0021074F">
        <w:rPr>
          <w:rFonts w:cstheme="minorHAnsi"/>
        </w:rPr>
        <w:t>relatives,</w:t>
      </w:r>
      <w:r w:rsidRPr="0021074F">
        <w:rPr>
          <w:rFonts w:cstheme="minorHAnsi"/>
        </w:rPr>
        <w:t xml:space="preserve"> or the public in the last </w:t>
      </w:r>
      <w:r>
        <w:rPr>
          <w:rFonts w:cstheme="minorHAnsi"/>
        </w:rPr>
        <w:t>twelve</w:t>
      </w:r>
      <w:r w:rsidRPr="0021074F">
        <w:rPr>
          <w:rFonts w:cstheme="minorHAnsi"/>
        </w:rPr>
        <w:t xml:space="preserve"> months</w:t>
      </w:r>
      <w:r>
        <w:rPr>
          <w:rFonts w:cstheme="minorHAnsi"/>
        </w:rPr>
        <w:t>.</w:t>
      </w:r>
      <w:r w:rsidR="0034094D">
        <w:rPr>
          <w:rFonts w:cstheme="minorHAnsi"/>
        </w:rPr>
        <w:t xml:space="preserve">  </w:t>
      </w:r>
      <w:r w:rsidR="006046C8">
        <w:rPr>
          <w:rFonts w:cstheme="minorHAnsi"/>
        </w:rPr>
        <w:t>The anti-</w:t>
      </w:r>
      <w:r w:rsidR="00E04B22">
        <w:rPr>
          <w:rFonts w:cstheme="minorHAnsi"/>
        </w:rPr>
        <w:t>discrimination</w:t>
      </w:r>
      <w:r w:rsidR="006046C8">
        <w:rPr>
          <w:rFonts w:cstheme="minorHAnsi"/>
        </w:rPr>
        <w:t xml:space="preserve"> taskforce is now </w:t>
      </w:r>
      <w:r w:rsidR="00E04B22">
        <w:rPr>
          <w:rFonts w:cstheme="minorHAnsi"/>
        </w:rPr>
        <w:t>established</w:t>
      </w:r>
      <w:r w:rsidR="000E6696">
        <w:rPr>
          <w:rFonts w:cstheme="minorHAnsi"/>
        </w:rPr>
        <w:t xml:space="preserve"> and may have contributed to this positive change</w:t>
      </w:r>
      <w:r w:rsidR="00E04B22">
        <w:rPr>
          <w:rFonts w:cstheme="minorHAnsi"/>
        </w:rPr>
        <w:t xml:space="preserve">.  </w:t>
      </w:r>
      <w:r w:rsidR="00E04B22" w:rsidRPr="00E04B22">
        <w:rPr>
          <w:rFonts w:asciiTheme="minorHAnsi" w:hAnsiTheme="minorHAnsi" w:cstheme="minorHAnsi"/>
        </w:rPr>
        <w:t>Its primary purpose is to c</w:t>
      </w:r>
      <w:r w:rsidR="00F77C7F">
        <w:rPr>
          <w:rFonts w:asciiTheme="minorHAnsi" w:hAnsiTheme="minorHAnsi" w:cstheme="minorHAnsi"/>
        </w:rPr>
        <w:t xml:space="preserve">hallenge </w:t>
      </w:r>
      <w:r w:rsidR="00E04B22" w:rsidRPr="00E04B22">
        <w:rPr>
          <w:rFonts w:asciiTheme="minorHAnsi" w:hAnsiTheme="minorHAnsi" w:cstheme="minorHAnsi"/>
        </w:rPr>
        <w:t xml:space="preserve">anti-discrimination in all forms and levels, to maintain oversight of delivery and outcomes to support Solent NHS Trust systems to recognise hate crime including healthcare impacts related to discrimination against protected characteristic groups/individuals, with the aim of </w:t>
      </w:r>
      <w:r w:rsidR="0018601B">
        <w:rPr>
          <w:rFonts w:asciiTheme="minorHAnsi" w:hAnsiTheme="minorHAnsi" w:cstheme="minorHAnsi"/>
        </w:rPr>
        <w:t xml:space="preserve">complementing </w:t>
      </w:r>
      <w:r w:rsidR="00E04B22" w:rsidRPr="00E04B22">
        <w:rPr>
          <w:rFonts w:asciiTheme="minorHAnsi" w:hAnsiTheme="minorHAnsi" w:cstheme="minorHAnsi"/>
        </w:rPr>
        <w:t xml:space="preserve">work around diversity and inclusion mandated standards and our legal, regulatory and commissioner requirements. Embedding </w:t>
      </w:r>
      <w:r w:rsidR="00F77C7F">
        <w:rPr>
          <w:rFonts w:asciiTheme="minorHAnsi" w:hAnsiTheme="minorHAnsi" w:cstheme="minorHAnsi"/>
        </w:rPr>
        <w:t>anti-discrimination</w:t>
      </w:r>
      <w:r w:rsidR="00E04B22" w:rsidRPr="00E04B22">
        <w:rPr>
          <w:rFonts w:asciiTheme="minorHAnsi" w:hAnsiTheme="minorHAnsi" w:cstheme="minorHAnsi"/>
        </w:rPr>
        <w:t xml:space="preserve"> </w:t>
      </w:r>
      <w:r w:rsidR="00F77C7F">
        <w:rPr>
          <w:rFonts w:asciiTheme="minorHAnsi" w:hAnsiTheme="minorHAnsi" w:cstheme="minorHAnsi"/>
        </w:rPr>
        <w:t xml:space="preserve">and hate </w:t>
      </w:r>
      <w:r w:rsidR="00E04B22" w:rsidRPr="00E04B22">
        <w:rPr>
          <w:rFonts w:asciiTheme="minorHAnsi" w:hAnsiTheme="minorHAnsi" w:cstheme="minorHAnsi"/>
        </w:rPr>
        <w:t>crime strands within Solent NHS Trust’s incident reporting system presents excellent opportunities to maximise the benefits of this work through robust analysis of existing/future datasets; evaluation of existing reporting and recording structures; the identification of best practice; and the creation of a template for future action. This will have significant benefits in terms of ensuring patient/staff safety and wellbeing.</w:t>
      </w:r>
      <w:r w:rsidR="00287832">
        <w:rPr>
          <w:rFonts w:asciiTheme="minorHAnsi" w:hAnsiTheme="minorHAnsi" w:cstheme="minorHAnsi"/>
        </w:rPr>
        <w:t xml:space="preserve">  However, next year’s figures for this indicator may show an increase in numbers as staff feel more comfortable to report incidences</w:t>
      </w:r>
      <w:r w:rsidR="00D664FA">
        <w:rPr>
          <w:rFonts w:asciiTheme="minorHAnsi" w:hAnsiTheme="minorHAnsi" w:cstheme="minorHAnsi"/>
        </w:rPr>
        <w:t xml:space="preserve"> due to the work of the taskforce.</w:t>
      </w:r>
      <w:r w:rsidR="00663F17">
        <w:rPr>
          <w:rFonts w:asciiTheme="minorHAnsi" w:hAnsiTheme="minorHAnsi" w:cstheme="minorHAnsi"/>
        </w:rPr>
        <w:t xml:space="preserve">  Although this may be difficult to see it is important that staff feel </w:t>
      </w:r>
      <w:r w:rsidR="00D60275">
        <w:rPr>
          <w:rFonts w:asciiTheme="minorHAnsi" w:hAnsiTheme="minorHAnsi" w:cstheme="minorHAnsi"/>
        </w:rPr>
        <w:t>able</w:t>
      </w:r>
      <w:r w:rsidR="00663F17">
        <w:rPr>
          <w:rFonts w:asciiTheme="minorHAnsi" w:hAnsiTheme="minorHAnsi" w:cstheme="minorHAnsi"/>
        </w:rPr>
        <w:t xml:space="preserve"> to report and it will also provide the Trust with a more accurate picture.  </w:t>
      </w:r>
      <w:r w:rsidR="00D60275">
        <w:rPr>
          <w:rFonts w:asciiTheme="minorHAnsi" w:hAnsiTheme="minorHAnsi" w:cstheme="minorHAnsi"/>
        </w:rPr>
        <w:t>Work</w:t>
      </w:r>
      <w:r w:rsidR="00663F17">
        <w:rPr>
          <w:rFonts w:asciiTheme="minorHAnsi" w:hAnsiTheme="minorHAnsi" w:cstheme="minorHAnsi"/>
        </w:rPr>
        <w:t xml:space="preserve"> will</w:t>
      </w:r>
      <w:r w:rsidR="0018601B">
        <w:rPr>
          <w:rFonts w:asciiTheme="minorHAnsi" w:hAnsiTheme="minorHAnsi" w:cstheme="minorHAnsi"/>
        </w:rPr>
        <w:t>,</w:t>
      </w:r>
      <w:r w:rsidR="00663F17">
        <w:rPr>
          <w:rFonts w:asciiTheme="minorHAnsi" w:hAnsiTheme="minorHAnsi" w:cstheme="minorHAnsi"/>
        </w:rPr>
        <w:t xml:space="preserve"> of course</w:t>
      </w:r>
      <w:r w:rsidR="0018601B">
        <w:rPr>
          <w:rFonts w:asciiTheme="minorHAnsi" w:hAnsiTheme="minorHAnsi" w:cstheme="minorHAnsi"/>
        </w:rPr>
        <w:t>,</w:t>
      </w:r>
      <w:r w:rsidR="00663F17">
        <w:rPr>
          <w:rFonts w:asciiTheme="minorHAnsi" w:hAnsiTheme="minorHAnsi" w:cstheme="minorHAnsi"/>
        </w:rPr>
        <w:t xml:space="preserve"> continue to reduce </w:t>
      </w:r>
      <w:r w:rsidR="00290C73">
        <w:rPr>
          <w:rFonts w:asciiTheme="minorHAnsi" w:hAnsiTheme="minorHAnsi" w:cstheme="minorHAnsi"/>
        </w:rPr>
        <w:t xml:space="preserve">these </w:t>
      </w:r>
      <w:r w:rsidR="0089248E">
        <w:rPr>
          <w:rFonts w:asciiTheme="minorHAnsi" w:hAnsiTheme="minorHAnsi" w:cstheme="minorHAnsi"/>
        </w:rPr>
        <w:t>occurrences</w:t>
      </w:r>
      <w:r w:rsidR="00290C73">
        <w:rPr>
          <w:rFonts w:asciiTheme="minorHAnsi" w:hAnsiTheme="minorHAnsi" w:cstheme="minorHAnsi"/>
        </w:rPr>
        <w:t>, and the Trust cont</w:t>
      </w:r>
      <w:r w:rsidR="0089248E">
        <w:rPr>
          <w:rFonts w:asciiTheme="minorHAnsi" w:hAnsiTheme="minorHAnsi" w:cstheme="minorHAnsi"/>
        </w:rPr>
        <w:t>inues</w:t>
      </w:r>
      <w:r w:rsidR="00290C73">
        <w:rPr>
          <w:rFonts w:asciiTheme="minorHAnsi" w:hAnsiTheme="minorHAnsi" w:cstheme="minorHAnsi"/>
        </w:rPr>
        <w:t xml:space="preserve"> to strongly promote its </w:t>
      </w:r>
      <w:r w:rsidR="0089248E">
        <w:rPr>
          <w:rFonts w:asciiTheme="minorHAnsi" w:hAnsiTheme="minorHAnsi" w:cstheme="minorHAnsi"/>
        </w:rPr>
        <w:t>zero tolerance approach to abuse.</w:t>
      </w:r>
    </w:p>
    <w:p w14:paraId="720A2BB6" w14:textId="076BAC39" w:rsidR="009648E3" w:rsidRDefault="009648E3" w:rsidP="00087E07"/>
    <w:p w14:paraId="01B92DF1" w14:textId="77777777" w:rsidR="00E27220" w:rsidRDefault="00E27220" w:rsidP="00AB30B3">
      <w:pPr>
        <w:rPr>
          <w:b/>
          <w:noProof/>
          <w:color w:val="AE2573"/>
        </w:rPr>
      </w:pPr>
    </w:p>
    <w:p w14:paraId="5CACB464" w14:textId="77777777" w:rsidR="00E27220" w:rsidRDefault="00E27220" w:rsidP="00AB30B3">
      <w:pPr>
        <w:rPr>
          <w:b/>
          <w:noProof/>
          <w:color w:val="AE2573"/>
        </w:rPr>
      </w:pPr>
    </w:p>
    <w:p w14:paraId="1CF90A40" w14:textId="38241E57" w:rsidR="00AB30B3" w:rsidRDefault="00AB30B3" w:rsidP="00AB30B3">
      <w:pPr>
        <w:rPr>
          <w:b/>
          <w:noProof/>
          <w:color w:val="AE2573"/>
        </w:rPr>
      </w:pPr>
      <w:r w:rsidRPr="00DA6E3A">
        <w:rPr>
          <w:b/>
          <w:noProof/>
          <w:color w:val="AE2573"/>
        </w:rPr>
        <w:t xml:space="preserve">Indicator </w:t>
      </w:r>
      <w:r>
        <w:rPr>
          <w:b/>
          <w:noProof/>
          <w:color w:val="AE2573"/>
        </w:rPr>
        <w:t>6</w:t>
      </w:r>
    </w:p>
    <w:tbl>
      <w:tblPr>
        <w:tblStyle w:val="TableGrid"/>
        <w:tblW w:w="0" w:type="auto"/>
        <w:tblLook w:val="04A0" w:firstRow="1" w:lastRow="0" w:firstColumn="1" w:lastColumn="0" w:noHBand="0" w:noVBand="1"/>
      </w:tblPr>
      <w:tblGrid>
        <w:gridCol w:w="2304"/>
        <w:gridCol w:w="2131"/>
        <w:gridCol w:w="2399"/>
        <w:gridCol w:w="2182"/>
      </w:tblGrid>
      <w:tr w:rsidR="00E27220" w:rsidRPr="00D713E4" w14:paraId="6561011D" w14:textId="77777777" w:rsidTr="000F25A0">
        <w:tc>
          <w:tcPr>
            <w:tcW w:w="9016" w:type="dxa"/>
            <w:gridSpan w:val="4"/>
            <w:shd w:val="clear" w:color="auto" w:fill="00B0F0"/>
          </w:tcPr>
          <w:p w14:paraId="13A96A55" w14:textId="39C6AA73" w:rsidR="00E27220" w:rsidRPr="00D713E4" w:rsidRDefault="00E27220" w:rsidP="00E27220">
            <w:pPr>
              <w:jc w:val="center"/>
              <w:rPr>
                <w:b/>
                <w:bCs/>
                <w:noProof/>
                <w:color w:val="000000" w:themeColor="text1"/>
              </w:rPr>
            </w:pPr>
            <w:r w:rsidRPr="00E27220">
              <w:rPr>
                <w:rFonts w:cstheme="minorHAnsi"/>
                <w:b/>
                <w:bCs/>
                <w:color w:val="000000" w:themeColor="text1"/>
              </w:rPr>
              <w:t>Staff experiencing harassment, bullying and abuse from staff in the last 12 months</w:t>
            </w:r>
          </w:p>
        </w:tc>
      </w:tr>
      <w:tr w:rsidR="00207D87" w:rsidRPr="00D713E4" w14:paraId="08585BEA" w14:textId="77777777" w:rsidTr="00E27220">
        <w:tc>
          <w:tcPr>
            <w:tcW w:w="4435" w:type="dxa"/>
            <w:gridSpan w:val="2"/>
            <w:shd w:val="clear" w:color="auto" w:fill="00B0F0"/>
          </w:tcPr>
          <w:p w14:paraId="7E122335" w14:textId="77777777" w:rsidR="00207D87" w:rsidRPr="00D713E4" w:rsidRDefault="00207D87" w:rsidP="006C1CE5">
            <w:pPr>
              <w:jc w:val="center"/>
              <w:rPr>
                <w:b/>
                <w:bCs/>
                <w:noProof/>
                <w:color w:val="000000" w:themeColor="text1"/>
              </w:rPr>
            </w:pPr>
            <w:r w:rsidRPr="00D713E4">
              <w:rPr>
                <w:b/>
                <w:bCs/>
                <w:noProof/>
                <w:color w:val="000000" w:themeColor="text1"/>
              </w:rPr>
              <w:t>2020</w:t>
            </w:r>
          </w:p>
        </w:tc>
        <w:tc>
          <w:tcPr>
            <w:tcW w:w="4581" w:type="dxa"/>
            <w:gridSpan w:val="2"/>
            <w:shd w:val="clear" w:color="auto" w:fill="00B0F0"/>
          </w:tcPr>
          <w:p w14:paraId="18DD998C" w14:textId="77777777" w:rsidR="00207D87" w:rsidRPr="00D713E4" w:rsidRDefault="00207D87" w:rsidP="006C1CE5">
            <w:pPr>
              <w:jc w:val="center"/>
              <w:rPr>
                <w:b/>
                <w:bCs/>
                <w:noProof/>
                <w:color w:val="000000" w:themeColor="text1"/>
              </w:rPr>
            </w:pPr>
            <w:r w:rsidRPr="00D713E4">
              <w:rPr>
                <w:b/>
                <w:bCs/>
                <w:noProof/>
                <w:color w:val="000000" w:themeColor="text1"/>
              </w:rPr>
              <w:t>2021</w:t>
            </w:r>
          </w:p>
        </w:tc>
      </w:tr>
      <w:tr w:rsidR="00207D87" w:rsidRPr="00D713E4" w14:paraId="45FF2CEF" w14:textId="77777777" w:rsidTr="00E27220">
        <w:tc>
          <w:tcPr>
            <w:tcW w:w="2304" w:type="dxa"/>
            <w:shd w:val="clear" w:color="auto" w:fill="00B0F0"/>
          </w:tcPr>
          <w:p w14:paraId="40CAE17F" w14:textId="77777777" w:rsidR="00207D87" w:rsidRPr="00D713E4" w:rsidRDefault="00207D87" w:rsidP="006C1CE5">
            <w:pPr>
              <w:jc w:val="center"/>
              <w:rPr>
                <w:b/>
                <w:bCs/>
                <w:noProof/>
                <w:color w:val="000000" w:themeColor="text1"/>
              </w:rPr>
            </w:pPr>
            <w:r>
              <w:rPr>
                <w:b/>
                <w:bCs/>
                <w:noProof/>
                <w:color w:val="000000" w:themeColor="text1"/>
              </w:rPr>
              <w:t>White</w:t>
            </w:r>
          </w:p>
        </w:tc>
        <w:tc>
          <w:tcPr>
            <w:tcW w:w="2131" w:type="dxa"/>
            <w:shd w:val="clear" w:color="auto" w:fill="00B0F0"/>
          </w:tcPr>
          <w:p w14:paraId="42399589" w14:textId="77777777" w:rsidR="00207D87" w:rsidRPr="00D713E4" w:rsidRDefault="00207D87" w:rsidP="006C1CE5">
            <w:pPr>
              <w:jc w:val="center"/>
              <w:rPr>
                <w:b/>
                <w:bCs/>
                <w:noProof/>
                <w:color w:val="000000" w:themeColor="text1"/>
              </w:rPr>
            </w:pPr>
            <w:r>
              <w:rPr>
                <w:b/>
                <w:bCs/>
                <w:noProof/>
                <w:color w:val="000000" w:themeColor="text1"/>
              </w:rPr>
              <w:t>BAME</w:t>
            </w:r>
          </w:p>
        </w:tc>
        <w:tc>
          <w:tcPr>
            <w:tcW w:w="2399" w:type="dxa"/>
            <w:shd w:val="clear" w:color="auto" w:fill="00B0F0"/>
          </w:tcPr>
          <w:p w14:paraId="362A7ECA" w14:textId="77777777" w:rsidR="00207D87" w:rsidRPr="00D713E4" w:rsidRDefault="00207D87" w:rsidP="006C1CE5">
            <w:pPr>
              <w:jc w:val="center"/>
              <w:rPr>
                <w:b/>
                <w:bCs/>
                <w:noProof/>
                <w:color w:val="000000" w:themeColor="text1"/>
              </w:rPr>
            </w:pPr>
            <w:r>
              <w:rPr>
                <w:b/>
                <w:bCs/>
                <w:noProof/>
                <w:color w:val="000000" w:themeColor="text1"/>
              </w:rPr>
              <w:t>White</w:t>
            </w:r>
          </w:p>
        </w:tc>
        <w:tc>
          <w:tcPr>
            <w:tcW w:w="2182" w:type="dxa"/>
            <w:shd w:val="clear" w:color="auto" w:fill="00B0F0"/>
          </w:tcPr>
          <w:p w14:paraId="174ED2F1" w14:textId="4272C8B8" w:rsidR="00207D87" w:rsidRPr="00D713E4" w:rsidRDefault="00207D87" w:rsidP="006C1CE5">
            <w:pPr>
              <w:jc w:val="center"/>
              <w:rPr>
                <w:b/>
                <w:bCs/>
                <w:noProof/>
                <w:color w:val="000000" w:themeColor="text1"/>
              </w:rPr>
            </w:pPr>
            <w:r>
              <w:rPr>
                <w:b/>
                <w:bCs/>
                <w:noProof/>
                <w:color w:val="000000" w:themeColor="text1"/>
              </w:rPr>
              <w:t>B</w:t>
            </w:r>
            <w:r w:rsidR="005D1CF0">
              <w:rPr>
                <w:b/>
                <w:bCs/>
                <w:noProof/>
                <w:color w:val="000000" w:themeColor="text1"/>
              </w:rPr>
              <w:t>AME</w:t>
            </w:r>
          </w:p>
        </w:tc>
      </w:tr>
      <w:tr w:rsidR="00207D87" w14:paraId="3F9B9520" w14:textId="77777777" w:rsidTr="00E27220">
        <w:tc>
          <w:tcPr>
            <w:tcW w:w="2304" w:type="dxa"/>
          </w:tcPr>
          <w:p w14:paraId="696BAE4E" w14:textId="48A831CA" w:rsidR="00207D87" w:rsidRPr="00D713E4" w:rsidRDefault="0007576D" w:rsidP="0007576D">
            <w:pPr>
              <w:jc w:val="center"/>
              <w:rPr>
                <w:bCs/>
                <w:noProof/>
                <w:color w:val="000000" w:themeColor="text1"/>
              </w:rPr>
            </w:pPr>
            <w:r>
              <w:rPr>
                <w:bCs/>
                <w:noProof/>
                <w:color w:val="000000" w:themeColor="text1"/>
              </w:rPr>
              <w:t>14.4%</w:t>
            </w:r>
          </w:p>
        </w:tc>
        <w:tc>
          <w:tcPr>
            <w:tcW w:w="2131" w:type="dxa"/>
          </w:tcPr>
          <w:p w14:paraId="630ACC3D" w14:textId="6E7DD17F" w:rsidR="00207D87" w:rsidRDefault="005D1CF0" w:rsidP="0007576D">
            <w:pPr>
              <w:jc w:val="center"/>
              <w:rPr>
                <w:bCs/>
                <w:noProof/>
                <w:color w:val="000000" w:themeColor="text1"/>
              </w:rPr>
            </w:pPr>
            <w:r>
              <w:rPr>
                <w:bCs/>
                <w:noProof/>
                <w:color w:val="000000" w:themeColor="text1"/>
              </w:rPr>
              <w:t>18.2%</w:t>
            </w:r>
          </w:p>
        </w:tc>
        <w:tc>
          <w:tcPr>
            <w:tcW w:w="2399" w:type="dxa"/>
          </w:tcPr>
          <w:p w14:paraId="304A1B33" w14:textId="43CF3E8A" w:rsidR="00207D87" w:rsidRPr="00D713E4" w:rsidRDefault="0007576D" w:rsidP="0007576D">
            <w:pPr>
              <w:jc w:val="center"/>
              <w:rPr>
                <w:bCs/>
                <w:noProof/>
                <w:color w:val="000000" w:themeColor="text1"/>
              </w:rPr>
            </w:pPr>
            <w:r>
              <w:rPr>
                <w:bCs/>
                <w:noProof/>
                <w:color w:val="000000" w:themeColor="text1"/>
              </w:rPr>
              <w:t>13.5%</w:t>
            </w:r>
          </w:p>
        </w:tc>
        <w:tc>
          <w:tcPr>
            <w:tcW w:w="2182" w:type="dxa"/>
          </w:tcPr>
          <w:p w14:paraId="2602419B" w14:textId="3814AE5D" w:rsidR="00207D87" w:rsidRDefault="005D1CF0" w:rsidP="0007576D">
            <w:pPr>
              <w:jc w:val="center"/>
              <w:rPr>
                <w:bCs/>
                <w:noProof/>
                <w:color w:val="000000" w:themeColor="text1"/>
              </w:rPr>
            </w:pPr>
            <w:r>
              <w:rPr>
                <w:bCs/>
                <w:noProof/>
                <w:color w:val="000000" w:themeColor="text1"/>
              </w:rPr>
              <w:t>18.1%</w:t>
            </w:r>
          </w:p>
        </w:tc>
      </w:tr>
    </w:tbl>
    <w:p w14:paraId="00743EC7" w14:textId="2BECF65D" w:rsidR="00AB30B3" w:rsidRPr="00C34FD2" w:rsidRDefault="00C34FD2" w:rsidP="00AB30B3">
      <w:pPr>
        <w:rPr>
          <w:noProof/>
          <w:color w:val="808080" w:themeColor="background1" w:themeShade="80"/>
          <w:sz w:val="16"/>
          <w:szCs w:val="16"/>
        </w:rPr>
      </w:pPr>
      <w:r w:rsidRPr="003C6295">
        <w:rPr>
          <w:color w:val="808080" w:themeColor="background1" w:themeShade="80"/>
          <w:sz w:val="16"/>
          <w:szCs w:val="16"/>
        </w:rPr>
        <w:t xml:space="preserve">Table </w:t>
      </w:r>
      <w:r>
        <w:rPr>
          <w:color w:val="808080" w:themeColor="background1" w:themeShade="80"/>
          <w:sz w:val="16"/>
          <w:szCs w:val="16"/>
        </w:rPr>
        <w:t xml:space="preserve">9 </w:t>
      </w:r>
      <w:r w:rsidRPr="00C34FD2">
        <w:rPr>
          <w:rFonts w:cstheme="minorHAnsi"/>
          <w:color w:val="808080" w:themeColor="background1" w:themeShade="80"/>
          <w:sz w:val="16"/>
          <w:szCs w:val="16"/>
        </w:rPr>
        <w:t>Percentage of staff experiencing</w:t>
      </w:r>
      <w:r>
        <w:rPr>
          <w:rFonts w:cstheme="minorHAnsi"/>
          <w:color w:val="808080" w:themeColor="background1" w:themeShade="80"/>
          <w:sz w:val="16"/>
          <w:szCs w:val="16"/>
        </w:rPr>
        <w:t xml:space="preserve"> </w:t>
      </w:r>
      <w:r w:rsidRPr="00C34FD2">
        <w:rPr>
          <w:rFonts w:cstheme="minorHAnsi"/>
          <w:color w:val="808080" w:themeColor="background1" w:themeShade="80"/>
          <w:sz w:val="16"/>
          <w:szCs w:val="16"/>
        </w:rPr>
        <w:t>harassment, bullying and abuse from staff in the last 12 months</w:t>
      </w:r>
    </w:p>
    <w:p w14:paraId="256CE0C2" w14:textId="2E27A807" w:rsidR="00AB30B3" w:rsidRDefault="00383DE5" w:rsidP="00087E07">
      <w:r>
        <w:t>This figures for this indicator have remained largely static.</w:t>
      </w:r>
      <w:r w:rsidR="001C6D8C">
        <w:t xml:space="preserve">  It is hoped that the work of the anti-discrimination taskforce will help </w:t>
      </w:r>
      <w:r w:rsidR="00231E62">
        <w:t>reduce this number.</w:t>
      </w:r>
      <w:r w:rsidR="0007576D">
        <w:t xml:space="preserve">  The BAME Resource group remains a space for support and advice for BAME staff and allies.  There is a weekly safe-space for BAME staff </w:t>
      </w:r>
      <w:r w:rsidR="001D1270">
        <w:t xml:space="preserve">only </w:t>
      </w:r>
      <w:r w:rsidR="0007576D">
        <w:t xml:space="preserve">with a clearly outlined escalation route for any issues that </w:t>
      </w:r>
      <w:r w:rsidR="001D1270">
        <w:t>members</w:t>
      </w:r>
      <w:r w:rsidR="0007576D">
        <w:t xml:space="preserve"> want raised.</w:t>
      </w:r>
    </w:p>
    <w:p w14:paraId="7AA7BE1E" w14:textId="4B77BCB0" w:rsidR="001D1270" w:rsidRDefault="001D1270" w:rsidP="00087E07"/>
    <w:p w14:paraId="336D2EF6" w14:textId="289357BC" w:rsidR="001D1270" w:rsidRDefault="001D1270" w:rsidP="001D1270">
      <w:pPr>
        <w:rPr>
          <w:b/>
          <w:noProof/>
          <w:color w:val="AE2573"/>
        </w:rPr>
      </w:pPr>
      <w:r w:rsidRPr="00DA6E3A">
        <w:rPr>
          <w:b/>
          <w:noProof/>
          <w:color w:val="AE2573"/>
        </w:rPr>
        <w:t xml:space="preserve">Indicator </w:t>
      </w:r>
      <w:r>
        <w:rPr>
          <w:b/>
          <w:noProof/>
          <w:color w:val="AE2573"/>
        </w:rPr>
        <w:t>7</w:t>
      </w:r>
    </w:p>
    <w:tbl>
      <w:tblPr>
        <w:tblStyle w:val="TableGrid"/>
        <w:tblW w:w="0" w:type="auto"/>
        <w:tblLook w:val="04A0" w:firstRow="1" w:lastRow="0" w:firstColumn="1" w:lastColumn="0" w:noHBand="0" w:noVBand="1"/>
      </w:tblPr>
      <w:tblGrid>
        <w:gridCol w:w="2304"/>
        <w:gridCol w:w="2131"/>
        <w:gridCol w:w="2399"/>
        <w:gridCol w:w="2182"/>
      </w:tblGrid>
      <w:tr w:rsidR="00E27220" w:rsidRPr="00D713E4" w14:paraId="75A583B0" w14:textId="77777777" w:rsidTr="001009BF">
        <w:tc>
          <w:tcPr>
            <w:tcW w:w="9016" w:type="dxa"/>
            <w:gridSpan w:val="4"/>
            <w:shd w:val="clear" w:color="auto" w:fill="00B0F0"/>
          </w:tcPr>
          <w:p w14:paraId="00A283C3" w14:textId="3F5EF6BD" w:rsidR="00E27220" w:rsidRPr="00E27220" w:rsidRDefault="00E27220" w:rsidP="006C1CE5">
            <w:pPr>
              <w:jc w:val="center"/>
              <w:rPr>
                <w:b/>
                <w:bCs/>
                <w:noProof/>
                <w:color w:val="000000" w:themeColor="text1"/>
              </w:rPr>
            </w:pPr>
            <w:r w:rsidRPr="00E27220">
              <w:rPr>
                <w:rFonts w:cstheme="minorHAnsi"/>
                <w:b/>
                <w:bCs/>
                <w:color w:val="000000" w:themeColor="text1"/>
              </w:rPr>
              <w:t>Staff believing that Solent provides equal opportunities for career progression or promotion</w:t>
            </w:r>
          </w:p>
        </w:tc>
      </w:tr>
      <w:tr w:rsidR="001D1270" w:rsidRPr="00D713E4" w14:paraId="1B6D9D22" w14:textId="77777777" w:rsidTr="00E27220">
        <w:tc>
          <w:tcPr>
            <w:tcW w:w="4435" w:type="dxa"/>
            <w:gridSpan w:val="2"/>
            <w:shd w:val="clear" w:color="auto" w:fill="00B0F0"/>
          </w:tcPr>
          <w:p w14:paraId="3E8964FB" w14:textId="77777777" w:rsidR="001D1270" w:rsidRPr="00D713E4" w:rsidRDefault="001D1270" w:rsidP="006C1CE5">
            <w:pPr>
              <w:jc w:val="center"/>
              <w:rPr>
                <w:b/>
                <w:bCs/>
                <w:noProof/>
                <w:color w:val="000000" w:themeColor="text1"/>
              </w:rPr>
            </w:pPr>
            <w:r w:rsidRPr="00D713E4">
              <w:rPr>
                <w:b/>
                <w:bCs/>
                <w:noProof/>
                <w:color w:val="000000" w:themeColor="text1"/>
              </w:rPr>
              <w:t>2020</w:t>
            </w:r>
          </w:p>
        </w:tc>
        <w:tc>
          <w:tcPr>
            <w:tcW w:w="4581" w:type="dxa"/>
            <w:gridSpan w:val="2"/>
            <w:shd w:val="clear" w:color="auto" w:fill="00B0F0"/>
          </w:tcPr>
          <w:p w14:paraId="37F3B4D8" w14:textId="77777777" w:rsidR="001D1270" w:rsidRPr="00D713E4" w:rsidRDefault="001D1270" w:rsidP="006C1CE5">
            <w:pPr>
              <w:jc w:val="center"/>
              <w:rPr>
                <w:b/>
                <w:bCs/>
                <w:noProof/>
                <w:color w:val="000000" w:themeColor="text1"/>
              </w:rPr>
            </w:pPr>
            <w:r w:rsidRPr="00D713E4">
              <w:rPr>
                <w:b/>
                <w:bCs/>
                <w:noProof/>
                <w:color w:val="000000" w:themeColor="text1"/>
              </w:rPr>
              <w:t>2021</w:t>
            </w:r>
          </w:p>
        </w:tc>
      </w:tr>
      <w:tr w:rsidR="001D1270" w:rsidRPr="00D713E4" w14:paraId="29B68E1D" w14:textId="77777777" w:rsidTr="00E27220">
        <w:tc>
          <w:tcPr>
            <w:tcW w:w="2304" w:type="dxa"/>
            <w:shd w:val="clear" w:color="auto" w:fill="00B0F0"/>
          </w:tcPr>
          <w:p w14:paraId="5731F2F3" w14:textId="77777777" w:rsidR="001D1270" w:rsidRPr="00D713E4" w:rsidRDefault="001D1270" w:rsidP="006C1CE5">
            <w:pPr>
              <w:jc w:val="center"/>
              <w:rPr>
                <w:b/>
                <w:bCs/>
                <w:noProof/>
                <w:color w:val="000000" w:themeColor="text1"/>
              </w:rPr>
            </w:pPr>
            <w:r>
              <w:rPr>
                <w:b/>
                <w:bCs/>
                <w:noProof/>
                <w:color w:val="000000" w:themeColor="text1"/>
              </w:rPr>
              <w:t>White</w:t>
            </w:r>
          </w:p>
        </w:tc>
        <w:tc>
          <w:tcPr>
            <w:tcW w:w="2131" w:type="dxa"/>
            <w:shd w:val="clear" w:color="auto" w:fill="00B0F0"/>
          </w:tcPr>
          <w:p w14:paraId="324226B3" w14:textId="77777777" w:rsidR="001D1270" w:rsidRPr="00D713E4" w:rsidRDefault="001D1270" w:rsidP="006C1CE5">
            <w:pPr>
              <w:jc w:val="center"/>
              <w:rPr>
                <w:b/>
                <w:bCs/>
                <w:noProof/>
                <w:color w:val="000000" w:themeColor="text1"/>
              </w:rPr>
            </w:pPr>
            <w:r>
              <w:rPr>
                <w:b/>
                <w:bCs/>
                <w:noProof/>
                <w:color w:val="000000" w:themeColor="text1"/>
              </w:rPr>
              <w:t>BAME</w:t>
            </w:r>
          </w:p>
        </w:tc>
        <w:tc>
          <w:tcPr>
            <w:tcW w:w="2399" w:type="dxa"/>
            <w:shd w:val="clear" w:color="auto" w:fill="00B0F0"/>
          </w:tcPr>
          <w:p w14:paraId="2ED37360" w14:textId="77777777" w:rsidR="001D1270" w:rsidRPr="00D713E4" w:rsidRDefault="001D1270" w:rsidP="006C1CE5">
            <w:pPr>
              <w:jc w:val="center"/>
              <w:rPr>
                <w:b/>
                <w:bCs/>
                <w:noProof/>
                <w:color w:val="000000" w:themeColor="text1"/>
              </w:rPr>
            </w:pPr>
            <w:r>
              <w:rPr>
                <w:b/>
                <w:bCs/>
                <w:noProof/>
                <w:color w:val="000000" w:themeColor="text1"/>
              </w:rPr>
              <w:t>White</w:t>
            </w:r>
          </w:p>
        </w:tc>
        <w:tc>
          <w:tcPr>
            <w:tcW w:w="2182" w:type="dxa"/>
            <w:shd w:val="clear" w:color="auto" w:fill="00B0F0"/>
          </w:tcPr>
          <w:p w14:paraId="00FDF542" w14:textId="77777777" w:rsidR="001D1270" w:rsidRPr="00D713E4" w:rsidRDefault="001D1270" w:rsidP="006C1CE5">
            <w:pPr>
              <w:jc w:val="center"/>
              <w:rPr>
                <w:b/>
                <w:bCs/>
                <w:noProof/>
                <w:color w:val="000000" w:themeColor="text1"/>
              </w:rPr>
            </w:pPr>
            <w:r>
              <w:rPr>
                <w:b/>
                <w:bCs/>
                <w:noProof/>
                <w:color w:val="000000" w:themeColor="text1"/>
              </w:rPr>
              <w:t>BAME</w:t>
            </w:r>
          </w:p>
        </w:tc>
      </w:tr>
      <w:tr w:rsidR="001D1270" w14:paraId="107F431F" w14:textId="77777777" w:rsidTr="00E27220">
        <w:tc>
          <w:tcPr>
            <w:tcW w:w="2304" w:type="dxa"/>
          </w:tcPr>
          <w:p w14:paraId="5B76BDA9" w14:textId="33F67508" w:rsidR="001D1270" w:rsidRPr="00D713E4" w:rsidRDefault="00230C6E" w:rsidP="006C1CE5">
            <w:pPr>
              <w:jc w:val="center"/>
              <w:rPr>
                <w:bCs/>
                <w:noProof/>
                <w:color w:val="000000" w:themeColor="text1"/>
              </w:rPr>
            </w:pPr>
            <w:r>
              <w:rPr>
                <w:bCs/>
                <w:noProof/>
                <w:color w:val="000000" w:themeColor="text1"/>
              </w:rPr>
              <w:t>92.6%</w:t>
            </w:r>
          </w:p>
        </w:tc>
        <w:tc>
          <w:tcPr>
            <w:tcW w:w="2131" w:type="dxa"/>
          </w:tcPr>
          <w:p w14:paraId="7556DA8A" w14:textId="043AF432" w:rsidR="001D1270" w:rsidRDefault="009A6A44" w:rsidP="006C1CE5">
            <w:pPr>
              <w:jc w:val="center"/>
              <w:rPr>
                <w:bCs/>
                <w:noProof/>
                <w:color w:val="000000" w:themeColor="text1"/>
              </w:rPr>
            </w:pPr>
            <w:r>
              <w:rPr>
                <w:bCs/>
                <w:noProof/>
                <w:color w:val="000000" w:themeColor="text1"/>
              </w:rPr>
              <w:t>82.4%</w:t>
            </w:r>
          </w:p>
        </w:tc>
        <w:tc>
          <w:tcPr>
            <w:tcW w:w="2399" w:type="dxa"/>
          </w:tcPr>
          <w:p w14:paraId="200AD612" w14:textId="46715689" w:rsidR="001D1270" w:rsidRPr="00D713E4" w:rsidRDefault="00230C6E" w:rsidP="006C1CE5">
            <w:pPr>
              <w:jc w:val="center"/>
              <w:rPr>
                <w:bCs/>
                <w:noProof/>
                <w:color w:val="000000" w:themeColor="text1"/>
              </w:rPr>
            </w:pPr>
            <w:r>
              <w:rPr>
                <w:bCs/>
                <w:noProof/>
                <w:color w:val="000000" w:themeColor="text1"/>
              </w:rPr>
              <w:t>91.8%</w:t>
            </w:r>
          </w:p>
        </w:tc>
        <w:tc>
          <w:tcPr>
            <w:tcW w:w="2182" w:type="dxa"/>
          </w:tcPr>
          <w:p w14:paraId="5AC346C8" w14:textId="45BDA1A5" w:rsidR="001D1270" w:rsidRDefault="009A6A44" w:rsidP="006C1CE5">
            <w:pPr>
              <w:jc w:val="center"/>
              <w:rPr>
                <w:bCs/>
                <w:noProof/>
                <w:color w:val="000000" w:themeColor="text1"/>
              </w:rPr>
            </w:pPr>
            <w:r>
              <w:rPr>
                <w:bCs/>
                <w:noProof/>
                <w:color w:val="000000" w:themeColor="text1"/>
              </w:rPr>
              <w:t>80.3%</w:t>
            </w:r>
          </w:p>
        </w:tc>
      </w:tr>
    </w:tbl>
    <w:p w14:paraId="4B8E76B7" w14:textId="392215EE" w:rsidR="001D1270" w:rsidRPr="00024F03" w:rsidRDefault="00CF2423" w:rsidP="00087E07">
      <w:pPr>
        <w:rPr>
          <w:color w:val="808080" w:themeColor="background1" w:themeShade="80"/>
          <w:sz w:val="16"/>
          <w:szCs w:val="16"/>
        </w:rPr>
      </w:pPr>
      <w:r w:rsidRPr="003C6295">
        <w:rPr>
          <w:color w:val="808080" w:themeColor="background1" w:themeShade="80"/>
          <w:sz w:val="16"/>
          <w:szCs w:val="16"/>
        </w:rPr>
        <w:t xml:space="preserve">Table </w:t>
      </w:r>
      <w:r>
        <w:rPr>
          <w:color w:val="808080" w:themeColor="background1" w:themeShade="80"/>
          <w:sz w:val="16"/>
          <w:szCs w:val="16"/>
        </w:rPr>
        <w:t xml:space="preserve">10  </w:t>
      </w:r>
      <w:r w:rsidRPr="00C34FD2">
        <w:rPr>
          <w:rFonts w:cstheme="minorHAnsi"/>
          <w:color w:val="808080" w:themeColor="background1" w:themeShade="80"/>
          <w:sz w:val="16"/>
          <w:szCs w:val="16"/>
        </w:rPr>
        <w:t>Percentage of staff</w:t>
      </w:r>
      <w:r w:rsidR="00024F03">
        <w:rPr>
          <w:rFonts w:cstheme="minorHAnsi"/>
          <w:color w:val="808080" w:themeColor="background1" w:themeShade="80"/>
          <w:sz w:val="16"/>
          <w:szCs w:val="16"/>
        </w:rPr>
        <w:t xml:space="preserve"> </w:t>
      </w:r>
      <w:r w:rsidR="00024F03" w:rsidRPr="00024F03">
        <w:rPr>
          <w:rFonts w:cstheme="minorHAnsi"/>
          <w:color w:val="808080" w:themeColor="background1" w:themeShade="80"/>
          <w:sz w:val="16"/>
          <w:szCs w:val="16"/>
        </w:rPr>
        <w:t>believing that Solent provides equal opportunities for career progression or promotion</w:t>
      </w:r>
    </w:p>
    <w:p w14:paraId="6A2A73EF" w14:textId="69B9EB73" w:rsidR="009A6A44" w:rsidRDefault="009A6A44" w:rsidP="00087E07">
      <w:r>
        <w:t xml:space="preserve">The numbers for this indicator </w:t>
      </w:r>
      <w:r w:rsidR="00D36A3F">
        <w:t>have</w:t>
      </w:r>
      <w:r>
        <w:t xml:space="preserve"> dropped slightly for all staff.  </w:t>
      </w:r>
      <w:r w:rsidR="005012C2">
        <w:t>Solent has four thriving st</w:t>
      </w:r>
      <w:r w:rsidR="00123517">
        <w:t>a</w:t>
      </w:r>
      <w:r w:rsidR="005012C2">
        <w:t xml:space="preserve">ff resource groups (BAME, LGBT+, Disability and </w:t>
      </w:r>
      <w:r w:rsidR="0018601B">
        <w:t>Multifaith</w:t>
      </w:r>
      <w:r w:rsidR="00123517">
        <w:t xml:space="preserve">) who are invited </w:t>
      </w:r>
      <w:r w:rsidR="004E718D">
        <w:t>to contribute to working groups on ca</w:t>
      </w:r>
      <w:r w:rsidR="003A321E">
        <w:t>reer progression.  A deep di</w:t>
      </w:r>
      <w:r w:rsidR="0003385D">
        <w:t xml:space="preserve">ve </w:t>
      </w:r>
      <w:r w:rsidR="003A321E">
        <w:t>into recruitment was conducted last year and the resulting findings are starting to b</w:t>
      </w:r>
      <w:r w:rsidR="0003385D">
        <w:t>e</w:t>
      </w:r>
      <w:r w:rsidR="003A321E">
        <w:t xml:space="preserve"> </w:t>
      </w:r>
      <w:r w:rsidR="0003385D">
        <w:t>implemented</w:t>
      </w:r>
      <w:r w:rsidR="003A321E">
        <w:t xml:space="preserve"> across the Trust</w:t>
      </w:r>
      <w:r w:rsidR="005622A7">
        <w:t>.</w:t>
      </w:r>
    </w:p>
    <w:p w14:paraId="4C215EC3" w14:textId="6F36F3BC" w:rsidR="005622A7" w:rsidRDefault="005622A7" w:rsidP="00087E07"/>
    <w:p w14:paraId="415D5E65" w14:textId="19E4DFA4" w:rsidR="005622A7" w:rsidRPr="00E27220" w:rsidRDefault="005622A7" w:rsidP="005622A7">
      <w:pPr>
        <w:rPr>
          <w:b/>
          <w:bCs/>
          <w:noProof/>
          <w:color w:val="000000" w:themeColor="text1"/>
        </w:rPr>
      </w:pPr>
      <w:r w:rsidRPr="00DA6E3A">
        <w:rPr>
          <w:b/>
          <w:noProof/>
          <w:color w:val="AE2573"/>
        </w:rPr>
        <w:t xml:space="preserve">Indicator </w:t>
      </w:r>
      <w:r>
        <w:rPr>
          <w:b/>
          <w:noProof/>
          <w:color w:val="AE2573"/>
        </w:rPr>
        <w:t>8</w:t>
      </w:r>
    </w:p>
    <w:tbl>
      <w:tblPr>
        <w:tblStyle w:val="TableGrid"/>
        <w:tblW w:w="0" w:type="auto"/>
        <w:tblLook w:val="04A0" w:firstRow="1" w:lastRow="0" w:firstColumn="1" w:lastColumn="0" w:noHBand="0" w:noVBand="1"/>
      </w:tblPr>
      <w:tblGrid>
        <w:gridCol w:w="2304"/>
        <w:gridCol w:w="2131"/>
        <w:gridCol w:w="2399"/>
        <w:gridCol w:w="2182"/>
      </w:tblGrid>
      <w:tr w:rsidR="00E27220" w:rsidRPr="00E27220" w14:paraId="3CA70085" w14:textId="77777777" w:rsidTr="00C17884">
        <w:tc>
          <w:tcPr>
            <w:tcW w:w="9016" w:type="dxa"/>
            <w:gridSpan w:val="4"/>
            <w:shd w:val="clear" w:color="auto" w:fill="00B0F0"/>
          </w:tcPr>
          <w:p w14:paraId="498CE12B" w14:textId="2F33C483" w:rsidR="00E27220" w:rsidRPr="00E27220" w:rsidRDefault="00E27220" w:rsidP="00E27220">
            <w:pPr>
              <w:jc w:val="center"/>
              <w:rPr>
                <w:rFonts w:cstheme="minorHAnsi"/>
                <w:b/>
                <w:bCs/>
                <w:noProof/>
                <w:color w:val="000000" w:themeColor="text1"/>
              </w:rPr>
            </w:pPr>
            <w:r w:rsidRPr="00E27220">
              <w:rPr>
                <w:rFonts w:cstheme="minorHAnsi"/>
                <w:b/>
                <w:bCs/>
                <w:color w:val="000000" w:themeColor="text1"/>
              </w:rPr>
              <w:t>Staff who personally experienced discrimination at work from Manager/team leaders or other colleagues in the last 12 months</w:t>
            </w:r>
          </w:p>
        </w:tc>
      </w:tr>
      <w:tr w:rsidR="005622A7" w:rsidRPr="00D713E4" w14:paraId="467800A0" w14:textId="77777777" w:rsidTr="00E27220">
        <w:tc>
          <w:tcPr>
            <w:tcW w:w="4435" w:type="dxa"/>
            <w:gridSpan w:val="2"/>
            <w:shd w:val="clear" w:color="auto" w:fill="00B0F0"/>
          </w:tcPr>
          <w:p w14:paraId="48CC1435" w14:textId="77777777" w:rsidR="005622A7" w:rsidRPr="00D713E4" w:rsidRDefault="005622A7" w:rsidP="006C1CE5">
            <w:pPr>
              <w:jc w:val="center"/>
              <w:rPr>
                <w:b/>
                <w:bCs/>
                <w:noProof/>
                <w:color w:val="000000" w:themeColor="text1"/>
              </w:rPr>
            </w:pPr>
            <w:r w:rsidRPr="00D713E4">
              <w:rPr>
                <w:b/>
                <w:bCs/>
                <w:noProof/>
                <w:color w:val="000000" w:themeColor="text1"/>
              </w:rPr>
              <w:t>2020</w:t>
            </w:r>
          </w:p>
        </w:tc>
        <w:tc>
          <w:tcPr>
            <w:tcW w:w="4581" w:type="dxa"/>
            <w:gridSpan w:val="2"/>
            <w:shd w:val="clear" w:color="auto" w:fill="00B0F0"/>
          </w:tcPr>
          <w:p w14:paraId="58300D38" w14:textId="77777777" w:rsidR="005622A7" w:rsidRPr="00D713E4" w:rsidRDefault="005622A7" w:rsidP="006C1CE5">
            <w:pPr>
              <w:jc w:val="center"/>
              <w:rPr>
                <w:b/>
                <w:bCs/>
                <w:noProof/>
                <w:color w:val="000000" w:themeColor="text1"/>
              </w:rPr>
            </w:pPr>
            <w:r w:rsidRPr="00D713E4">
              <w:rPr>
                <w:b/>
                <w:bCs/>
                <w:noProof/>
                <w:color w:val="000000" w:themeColor="text1"/>
              </w:rPr>
              <w:t>2021</w:t>
            </w:r>
          </w:p>
        </w:tc>
      </w:tr>
      <w:tr w:rsidR="005622A7" w:rsidRPr="00D713E4" w14:paraId="47393DCD" w14:textId="77777777" w:rsidTr="00E27220">
        <w:tc>
          <w:tcPr>
            <w:tcW w:w="2304" w:type="dxa"/>
            <w:shd w:val="clear" w:color="auto" w:fill="00B0F0"/>
          </w:tcPr>
          <w:p w14:paraId="04BCC774" w14:textId="77777777" w:rsidR="005622A7" w:rsidRPr="00D713E4" w:rsidRDefault="005622A7" w:rsidP="006C1CE5">
            <w:pPr>
              <w:jc w:val="center"/>
              <w:rPr>
                <w:b/>
                <w:bCs/>
                <w:noProof/>
                <w:color w:val="000000" w:themeColor="text1"/>
              </w:rPr>
            </w:pPr>
            <w:r>
              <w:rPr>
                <w:b/>
                <w:bCs/>
                <w:noProof/>
                <w:color w:val="000000" w:themeColor="text1"/>
              </w:rPr>
              <w:t>White</w:t>
            </w:r>
          </w:p>
        </w:tc>
        <w:tc>
          <w:tcPr>
            <w:tcW w:w="2131" w:type="dxa"/>
            <w:shd w:val="clear" w:color="auto" w:fill="00B0F0"/>
          </w:tcPr>
          <w:p w14:paraId="593C7200" w14:textId="77777777" w:rsidR="005622A7" w:rsidRPr="00D713E4" w:rsidRDefault="005622A7" w:rsidP="006C1CE5">
            <w:pPr>
              <w:jc w:val="center"/>
              <w:rPr>
                <w:b/>
                <w:bCs/>
                <w:noProof/>
                <w:color w:val="000000" w:themeColor="text1"/>
              </w:rPr>
            </w:pPr>
            <w:r>
              <w:rPr>
                <w:b/>
                <w:bCs/>
                <w:noProof/>
                <w:color w:val="000000" w:themeColor="text1"/>
              </w:rPr>
              <w:t>BAME</w:t>
            </w:r>
          </w:p>
        </w:tc>
        <w:tc>
          <w:tcPr>
            <w:tcW w:w="2399" w:type="dxa"/>
            <w:shd w:val="clear" w:color="auto" w:fill="00B0F0"/>
          </w:tcPr>
          <w:p w14:paraId="7EEE4110" w14:textId="77777777" w:rsidR="005622A7" w:rsidRPr="00D713E4" w:rsidRDefault="005622A7" w:rsidP="006C1CE5">
            <w:pPr>
              <w:jc w:val="center"/>
              <w:rPr>
                <w:b/>
                <w:bCs/>
                <w:noProof/>
                <w:color w:val="000000" w:themeColor="text1"/>
              </w:rPr>
            </w:pPr>
            <w:r>
              <w:rPr>
                <w:b/>
                <w:bCs/>
                <w:noProof/>
                <w:color w:val="000000" w:themeColor="text1"/>
              </w:rPr>
              <w:t>White</w:t>
            </w:r>
          </w:p>
        </w:tc>
        <w:tc>
          <w:tcPr>
            <w:tcW w:w="2182" w:type="dxa"/>
            <w:shd w:val="clear" w:color="auto" w:fill="00B0F0"/>
          </w:tcPr>
          <w:p w14:paraId="15430591" w14:textId="77777777" w:rsidR="005622A7" w:rsidRPr="00D713E4" w:rsidRDefault="005622A7" w:rsidP="006C1CE5">
            <w:pPr>
              <w:jc w:val="center"/>
              <w:rPr>
                <w:b/>
                <w:bCs/>
                <w:noProof/>
                <w:color w:val="000000" w:themeColor="text1"/>
              </w:rPr>
            </w:pPr>
            <w:r>
              <w:rPr>
                <w:b/>
                <w:bCs/>
                <w:noProof/>
                <w:color w:val="000000" w:themeColor="text1"/>
              </w:rPr>
              <w:t>BAME</w:t>
            </w:r>
          </w:p>
        </w:tc>
      </w:tr>
      <w:tr w:rsidR="005622A7" w14:paraId="0253C5B0" w14:textId="77777777" w:rsidTr="00E27220">
        <w:tc>
          <w:tcPr>
            <w:tcW w:w="2304" w:type="dxa"/>
          </w:tcPr>
          <w:p w14:paraId="7A04CF2A" w14:textId="00BC137B" w:rsidR="005622A7" w:rsidRPr="00D713E4" w:rsidRDefault="001A1318" w:rsidP="006C1CE5">
            <w:pPr>
              <w:jc w:val="center"/>
              <w:rPr>
                <w:bCs/>
                <w:noProof/>
                <w:color w:val="000000" w:themeColor="text1"/>
              </w:rPr>
            </w:pPr>
            <w:r>
              <w:rPr>
                <w:bCs/>
                <w:noProof/>
                <w:color w:val="000000" w:themeColor="text1"/>
              </w:rPr>
              <w:t>4.2%</w:t>
            </w:r>
          </w:p>
        </w:tc>
        <w:tc>
          <w:tcPr>
            <w:tcW w:w="2131" w:type="dxa"/>
          </w:tcPr>
          <w:p w14:paraId="258C7B77" w14:textId="7AE4722A" w:rsidR="005622A7" w:rsidRDefault="0048506C" w:rsidP="006C1CE5">
            <w:pPr>
              <w:jc w:val="center"/>
              <w:rPr>
                <w:bCs/>
                <w:noProof/>
                <w:color w:val="000000" w:themeColor="text1"/>
              </w:rPr>
            </w:pPr>
            <w:r>
              <w:rPr>
                <w:bCs/>
                <w:noProof/>
                <w:color w:val="000000" w:themeColor="text1"/>
              </w:rPr>
              <w:t>9.5%</w:t>
            </w:r>
          </w:p>
        </w:tc>
        <w:tc>
          <w:tcPr>
            <w:tcW w:w="2399" w:type="dxa"/>
          </w:tcPr>
          <w:p w14:paraId="19694BCA" w14:textId="2EB962D0" w:rsidR="005622A7" w:rsidRPr="00D713E4" w:rsidRDefault="001A1318" w:rsidP="006C1CE5">
            <w:pPr>
              <w:jc w:val="center"/>
              <w:rPr>
                <w:bCs/>
                <w:noProof/>
                <w:color w:val="000000" w:themeColor="text1"/>
              </w:rPr>
            </w:pPr>
            <w:r>
              <w:rPr>
                <w:bCs/>
                <w:noProof/>
                <w:color w:val="000000" w:themeColor="text1"/>
              </w:rPr>
              <w:t>3.7%</w:t>
            </w:r>
          </w:p>
        </w:tc>
        <w:tc>
          <w:tcPr>
            <w:tcW w:w="2182" w:type="dxa"/>
          </w:tcPr>
          <w:p w14:paraId="778D49C3" w14:textId="43263A10" w:rsidR="005622A7" w:rsidRDefault="0048506C" w:rsidP="006C1CE5">
            <w:pPr>
              <w:jc w:val="center"/>
              <w:rPr>
                <w:bCs/>
                <w:noProof/>
                <w:color w:val="000000" w:themeColor="text1"/>
              </w:rPr>
            </w:pPr>
            <w:r>
              <w:rPr>
                <w:bCs/>
                <w:noProof/>
                <w:color w:val="000000" w:themeColor="text1"/>
              </w:rPr>
              <w:t>13.8%</w:t>
            </w:r>
          </w:p>
        </w:tc>
      </w:tr>
    </w:tbl>
    <w:p w14:paraId="1F7DB8E5" w14:textId="70069042" w:rsidR="005622A7" w:rsidRPr="00D36EB4" w:rsidRDefault="0048506C" w:rsidP="005622A7">
      <w:pPr>
        <w:rPr>
          <w:rFonts w:cstheme="minorHAnsi"/>
          <w:b/>
          <w:noProof/>
          <w:color w:val="808080" w:themeColor="background1" w:themeShade="80"/>
          <w:sz w:val="16"/>
          <w:szCs w:val="16"/>
        </w:rPr>
      </w:pPr>
      <w:r w:rsidRPr="00D36EB4">
        <w:rPr>
          <w:rFonts w:cstheme="minorHAnsi"/>
          <w:color w:val="808080" w:themeColor="background1" w:themeShade="80"/>
          <w:sz w:val="16"/>
          <w:szCs w:val="16"/>
        </w:rPr>
        <w:t xml:space="preserve">Table 11 </w:t>
      </w:r>
      <w:r w:rsidR="00D36EB4">
        <w:rPr>
          <w:rFonts w:cstheme="minorHAnsi"/>
          <w:color w:val="808080" w:themeColor="background1" w:themeShade="80"/>
          <w:sz w:val="16"/>
          <w:szCs w:val="16"/>
        </w:rPr>
        <w:t>p</w:t>
      </w:r>
      <w:r w:rsidR="00BC38D4" w:rsidRPr="00D36EB4">
        <w:rPr>
          <w:rFonts w:cstheme="minorHAnsi"/>
          <w:color w:val="808080" w:themeColor="background1" w:themeShade="80"/>
          <w:sz w:val="16"/>
          <w:szCs w:val="16"/>
        </w:rPr>
        <w:t>ercentage of staff who personally experienced discrimination at work from Manager/team leaders or other colleagues</w:t>
      </w:r>
      <w:r w:rsidRPr="00D36EB4">
        <w:rPr>
          <w:rFonts w:cstheme="minorHAnsi"/>
          <w:color w:val="808080" w:themeColor="background1" w:themeShade="80"/>
          <w:sz w:val="16"/>
          <w:szCs w:val="16"/>
        </w:rPr>
        <w:t xml:space="preserve"> </w:t>
      </w:r>
      <w:r w:rsidR="00D36EB4" w:rsidRPr="00D36EB4">
        <w:rPr>
          <w:rFonts w:cstheme="minorHAnsi"/>
          <w:color w:val="808080" w:themeColor="background1" w:themeShade="80"/>
          <w:sz w:val="16"/>
          <w:szCs w:val="16"/>
        </w:rPr>
        <w:t>in the last 12 months</w:t>
      </w:r>
    </w:p>
    <w:p w14:paraId="2A315382" w14:textId="52359BFB" w:rsidR="005622A7" w:rsidRDefault="00D36EB4" w:rsidP="00087E07">
      <w:pPr>
        <w:rPr>
          <w:color w:val="000000" w:themeColor="text1"/>
        </w:rPr>
      </w:pPr>
      <w:r>
        <w:rPr>
          <w:color w:val="000000" w:themeColor="text1"/>
        </w:rPr>
        <w:t>There is a</w:t>
      </w:r>
      <w:r w:rsidR="00890AF7">
        <w:rPr>
          <w:color w:val="000000" w:themeColor="text1"/>
        </w:rPr>
        <w:t>n</w:t>
      </w:r>
      <w:r>
        <w:rPr>
          <w:color w:val="000000" w:themeColor="text1"/>
        </w:rPr>
        <w:t xml:space="preserve"> increase in the amount of BAME staff who have experienced discrimination at work from managers/team leaders or the</w:t>
      </w:r>
      <w:r w:rsidR="0050231F">
        <w:rPr>
          <w:color w:val="000000" w:themeColor="text1"/>
        </w:rPr>
        <w:t>i</w:t>
      </w:r>
      <w:r>
        <w:rPr>
          <w:color w:val="000000" w:themeColor="text1"/>
        </w:rPr>
        <w:t xml:space="preserve">r colleagues.  As the data for this indicator is gathered from </w:t>
      </w:r>
      <w:r w:rsidR="00AF4627">
        <w:rPr>
          <w:color w:val="000000" w:themeColor="text1"/>
        </w:rPr>
        <w:t xml:space="preserve">the </w:t>
      </w:r>
      <w:r>
        <w:rPr>
          <w:color w:val="000000" w:themeColor="text1"/>
        </w:rPr>
        <w:t>sta</w:t>
      </w:r>
      <w:r w:rsidR="00AF4627">
        <w:rPr>
          <w:color w:val="000000" w:themeColor="text1"/>
        </w:rPr>
        <w:t>f</w:t>
      </w:r>
      <w:r>
        <w:rPr>
          <w:color w:val="000000" w:themeColor="text1"/>
        </w:rPr>
        <w:t>f survey Solent were already aware of this</w:t>
      </w:r>
      <w:r w:rsidR="0050231F">
        <w:rPr>
          <w:color w:val="000000" w:themeColor="text1"/>
        </w:rPr>
        <w:t xml:space="preserve"> rise and have </w:t>
      </w:r>
      <w:r w:rsidR="00AF4627">
        <w:rPr>
          <w:color w:val="000000" w:themeColor="text1"/>
        </w:rPr>
        <w:t>conducted</w:t>
      </w:r>
      <w:r w:rsidR="0050231F">
        <w:rPr>
          <w:color w:val="000000" w:themeColor="text1"/>
        </w:rPr>
        <w:t xml:space="preserve"> a deep dive into the data. </w:t>
      </w:r>
      <w:r w:rsidR="00AF4627">
        <w:rPr>
          <w:color w:val="000000" w:themeColor="text1"/>
        </w:rPr>
        <w:t xml:space="preserve">This showed that </w:t>
      </w:r>
      <w:r w:rsidR="00974FCE">
        <w:rPr>
          <w:color w:val="000000" w:themeColor="text1"/>
        </w:rPr>
        <w:t>there were 110</w:t>
      </w:r>
      <w:r w:rsidR="00886965">
        <w:rPr>
          <w:color w:val="000000" w:themeColor="text1"/>
        </w:rPr>
        <w:t xml:space="preserve"> overall </w:t>
      </w:r>
      <w:r w:rsidR="00886A6D">
        <w:rPr>
          <w:color w:val="000000" w:themeColor="text1"/>
        </w:rPr>
        <w:t>incidences</w:t>
      </w:r>
      <w:r w:rsidR="00886965">
        <w:rPr>
          <w:color w:val="000000" w:themeColor="text1"/>
        </w:rPr>
        <w:t xml:space="preserve"> </w:t>
      </w:r>
      <w:r w:rsidR="00886A6D">
        <w:rPr>
          <w:color w:val="000000" w:themeColor="text1"/>
        </w:rPr>
        <w:t>reported</w:t>
      </w:r>
      <w:r w:rsidR="00886965">
        <w:rPr>
          <w:color w:val="000000" w:themeColor="text1"/>
        </w:rPr>
        <w:t xml:space="preserve"> in the survey, 24 of which involved BAME staff.  Further analysis at service line level </w:t>
      </w:r>
      <w:r w:rsidR="00886A6D">
        <w:rPr>
          <w:color w:val="000000" w:themeColor="text1"/>
        </w:rPr>
        <w:t>identified</w:t>
      </w:r>
      <w:r w:rsidR="00886965">
        <w:rPr>
          <w:color w:val="000000" w:themeColor="text1"/>
        </w:rPr>
        <w:t xml:space="preserve"> the three service l</w:t>
      </w:r>
      <w:r w:rsidR="00886A6D">
        <w:rPr>
          <w:color w:val="000000" w:themeColor="text1"/>
        </w:rPr>
        <w:t>i</w:t>
      </w:r>
      <w:r w:rsidR="00886965">
        <w:rPr>
          <w:color w:val="000000" w:themeColor="text1"/>
        </w:rPr>
        <w:t>nes with the highes</w:t>
      </w:r>
      <w:r w:rsidR="00886A6D">
        <w:rPr>
          <w:color w:val="000000" w:themeColor="text1"/>
        </w:rPr>
        <w:t>t</w:t>
      </w:r>
      <w:r w:rsidR="00886965">
        <w:rPr>
          <w:color w:val="000000" w:themeColor="text1"/>
        </w:rPr>
        <w:t xml:space="preserve"> amount (total number in</w:t>
      </w:r>
      <w:r w:rsidR="00886A6D">
        <w:rPr>
          <w:color w:val="000000" w:themeColor="text1"/>
        </w:rPr>
        <w:t xml:space="preserve"> </w:t>
      </w:r>
      <w:r w:rsidR="00886965">
        <w:rPr>
          <w:color w:val="000000" w:themeColor="text1"/>
        </w:rPr>
        <w:t>the</w:t>
      </w:r>
      <w:r w:rsidR="00886A6D">
        <w:rPr>
          <w:color w:val="000000" w:themeColor="text1"/>
        </w:rPr>
        <w:t>s</w:t>
      </w:r>
      <w:r w:rsidR="00886965">
        <w:rPr>
          <w:color w:val="000000" w:themeColor="text1"/>
        </w:rPr>
        <w:t>e</w:t>
      </w:r>
      <w:r w:rsidR="005B66E6">
        <w:rPr>
          <w:color w:val="000000" w:themeColor="text1"/>
        </w:rPr>
        <w:t xml:space="preserve"> three</w:t>
      </w:r>
      <w:r w:rsidR="00886965">
        <w:rPr>
          <w:color w:val="000000" w:themeColor="text1"/>
        </w:rPr>
        <w:t xml:space="preserve"> service lines </w:t>
      </w:r>
      <w:r w:rsidR="00886A6D">
        <w:rPr>
          <w:color w:val="000000" w:themeColor="text1"/>
        </w:rPr>
        <w:t>13).  Meetings were held with the three operational directors to discuss the results and an action plan</w:t>
      </w:r>
      <w:r w:rsidR="009932BC">
        <w:rPr>
          <w:color w:val="000000" w:themeColor="text1"/>
        </w:rPr>
        <w:t>,</w:t>
      </w:r>
      <w:r w:rsidR="00886A6D">
        <w:rPr>
          <w:color w:val="000000" w:themeColor="text1"/>
        </w:rPr>
        <w:t xml:space="preserve"> w</w:t>
      </w:r>
      <w:r w:rsidR="009932BC">
        <w:rPr>
          <w:color w:val="000000" w:themeColor="text1"/>
        </w:rPr>
        <w:t>i</w:t>
      </w:r>
      <w:r w:rsidR="00886A6D">
        <w:rPr>
          <w:color w:val="000000" w:themeColor="text1"/>
        </w:rPr>
        <w:t>th individual service line targets</w:t>
      </w:r>
      <w:r w:rsidR="009932BC">
        <w:rPr>
          <w:color w:val="000000" w:themeColor="text1"/>
        </w:rPr>
        <w:t>, designed for them.  The progress on these action plans will be reported to the Workforce and Organisational Development Committee</w:t>
      </w:r>
      <w:r w:rsidR="00E27220">
        <w:rPr>
          <w:color w:val="000000" w:themeColor="text1"/>
        </w:rPr>
        <w:t xml:space="preserve"> in September 2021, and regularly thereafter.</w:t>
      </w:r>
    </w:p>
    <w:p w14:paraId="64BD36A6" w14:textId="77777777" w:rsidR="00B05B87" w:rsidRDefault="00B05B87" w:rsidP="00B05B87">
      <w:pPr>
        <w:rPr>
          <w:b/>
          <w:noProof/>
          <w:color w:val="AE2573"/>
        </w:rPr>
      </w:pPr>
    </w:p>
    <w:p w14:paraId="4BA42318" w14:textId="6446F118" w:rsidR="00B05B87" w:rsidRDefault="00B05B87" w:rsidP="00B05B87">
      <w:pPr>
        <w:rPr>
          <w:b/>
          <w:noProof/>
          <w:color w:val="AE2573"/>
        </w:rPr>
      </w:pPr>
      <w:r w:rsidRPr="00DA6E3A">
        <w:rPr>
          <w:b/>
          <w:noProof/>
          <w:color w:val="AE2573"/>
        </w:rPr>
        <w:t xml:space="preserve">Indicator </w:t>
      </w:r>
      <w:r>
        <w:rPr>
          <w:b/>
          <w:noProof/>
          <w:color w:val="AE2573"/>
        </w:rPr>
        <w:t>9</w:t>
      </w:r>
    </w:p>
    <w:tbl>
      <w:tblPr>
        <w:tblStyle w:val="TableGrid"/>
        <w:tblW w:w="0" w:type="auto"/>
        <w:tblLook w:val="04A0" w:firstRow="1" w:lastRow="0" w:firstColumn="1" w:lastColumn="0" w:noHBand="0" w:noVBand="1"/>
      </w:tblPr>
      <w:tblGrid>
        <w:gridCol w:w="2306"/>
        <w:gridCol w:w="2129"/>
        <w:gridCol w:w="2401"/>
        <w:gridCol w:w="2180"/>
      </w:tblGrid>
      <w:tr w:rsidR="00E27220" w:rsidRPr="00D713E4" w14:paraId="5858280E" w14:textId="77777777" w:rsidTr="004E5645">
        <w:tc>
          <w:tcPr>
            <w:tcW w:w="9016" w:type="dxa"/>
            <w:gridSpan w:val="4"/>
            <w:shd w:val="clear" w:color="auto" w:fill="00B0F0"/>
          </w:tcPr>
          <w:p w14:paraId="744363CA" w14:textId="37C73C67" w:rsidR="00E27220" w:rsidRPr="00E27220" w:rsidRDefault="00E27220" w:rsidP="006C1CE5">
            <w:pPr>
              <w:jc w:val="center"/>
              <w:rPr>
                <w:b/>
                <w:bCs/>
                <w:noProof/>
                <w:color w:val="000000" w:themeColor="text1"/>
              </w:rPr>
            </w:pPr>
            <w:r w:rsidRPr="00E27220">
              <w:rPr>
                <w:rFonts w:cstheme="minorHAnsi"/>
                <w:b/>
                <w:bCs/>
                <w:color w:val="000000" w:themeColor="text1"/>
              </w:rPr>
              <w:t>Ethnicity of Board members</w:t>
            </w:r>
          </w:p>
        </w:tc>
      </w:tr>
      <w:tr w:rsidR="0041013D" w:rsidRPr="00D713E4" w14:paraId="584F1ABB" w14:textId="77777777" w:rsidTr="00E27220">
        <w:tc>
          <w:tcPr>
            <w:tcW w:w="4435" w:type="dxa"/>
            <w:gridSpan w:val="2"/>
            <w:shd w:val="clear" w:color="auto" w:fill="00B0F0"/>
          </w:tcPr>
          <w:p w14:paraId="4E9A9BB2" w14:textId="77777777" w:rsidR="0041013D" w:rsidRPr="00D713E4" w:rsidRDefault="0041013D" w:rsidP="006C1CE5">
            <w:pPr>
              <w:jc w:val="center"/>
              <w:rPr>
                <w:b/>
                <w:bCs/>
                <w:noProof/>
                <w:color w:val="000000" w:themeColor="text1"/>
              </w:rPr>
            </w:pPr>
            <w:r w:rsidRPr="00D713E4">
              <w:rPr>
                <w:b/>
                <w:bCs/>
                <w:noProof/>
                <w:color w:val="000000" w:themeColor="text1"/>
              </w:rPr>
              <w:t>2020</w:t>
            </w:r>
          </w:p>
        </w:tc>
        <w:tc>
          <w:tcPr>
            <w:tcW w:w="4581" w:type="dxa"/>
            <w:gridSpan w:val="2"/>
            <w:shd w:val="clear" w:color="auto" w:fill="00B0F0"/>
          </w:tcPr>
          <w:p w14:paraId="1C53DCEC" w14:textId="77777777" w:rsidR="0041013D" w:rsidRPr="00D713E4" w:rsidRDefault="0041013D" w:rsidP="006C1CE5">
            <w:pPr>
              <w:jc w:val="center"/>
              <w:rPr>
                <w:b/>
                <w:bCs/>
                <w:noProof/>
                <w:color w:val="000000" w:themeColor="text1"/>
              </w:rPr>
            </w:pPr>
            <w:r w:rsidRPr="00D713E4">
              <w:rPr>
                <w:b/>
                <w:bCs/>
                <w:noProof/>
                <w:color w:val="000000" w:themeColor="text1"/>
              </w:rPr>
              <w:t>2021</w:t>
            </w:r>
          </w:p>
        </w:tc>
      </w:tr>
      <w:tr w:rsidR="0041013D" w:rsidRPr="00D713E4" w14:paraId="4CCD6B06" w14:textId="77777777" w:rsidTr="00E27220">
        <w:tc>
          <w:tcPr>
            <w:tcW w:w="2306" w:type="dxa"/>
            <w:shd w:val="clear" w:color="auto" w:fill="00B0F0"/>
          </w:tcPr>
          <w:p w14:paraId="6DC15F55" w14:textId="100A7334" w:rsidR="0041013D" w:rsidRPr="00D713E4" w:rsidRDefault="002A5395" w:rsidP="006C1CE5">
            <w:pPr>
              <w:jc w:val="center"/>
              <w:rPr>
                <w:b/>
                <w:bCs/>
                <w:noProof/>
                <w:color w:val="000000" w:themeColor="text1"/>
              </w:rPr>
            </w:pPr>
            <w:r>
              <w:rPr>
                <w:b/>
                <w:bCs/>
                <w:noProof/>
                <w:color w:val="000000" w:themeColor="text1"/>
              </w:rPr>
              <w:t xml:space="preserve">White </w:t>
            </w:r>
          </w:p>
        </w:tc>
        <w:tc>
          <w:tcPr>
            <w:tcW w:w="2129" w:type="dxa"/>
            <w:shd w:val="clear" w:color="auto" w:fill="00B0F0"/>
          </w:tcPr>
          <w:p w14:paraId="2E733332" w14:textId="77777777" w:rsidR="0041013D" w:rsidRPr="00D713E4" w:rsidRDefault="0041013D" w:rsidP="006C1CE5">
            <w:pPr>
              <w:jc w:val="center"/>
              <w:rPr>
                <w:b/>
                <w:bCs/>
                <w:noProof/>
                <w:color w:val="000000" w:themeColor="text1"/>
              </w:rPr>
            </w:pPr>
            <w:r>
              <w:rPr>
                <w:b/>
                <w:bCs/>
                <w:noProof/>
                <w:color w:val="000000" w:themeColor="text1"/>
              </w:rPr>
              <w:t>BAME</w:t>
            </w:r>
          </w:p>
        </w:tc>
        <w:tc>
          <w:tcPr>
            <w:tcW w:w="2401" w:type="dxa"/>
            <w:shd w:val="clear" w:color="auto" w:fill="00B0F0"/>
          </w:tcPr>
          <w:p w14:paraId="147FCD9F" w14:textId="77777777" w:rsidR="0041013D" w:rsidRPr="00D713E4" w:rsidRDefault="0041013D" w:rsidP="006C1CE5">
            <w:pPr>
              <w:jc w:val="center"/>
              <w:rPr>
                <w:b/>
                <w:bCs/>
                <w:noProof/>
                <w:color w:val="000000" w:themeColor="text1"/>
              </w:rPr>
            </w:pPr>
            <w:r>
              <w:rPr>
                <w:b/>
                <w:bCs/>
                <w:noProof/>
                <w:color w:val="000000" w:themeColor="text1"/>
              </w:rPr>
              <w:t>White</w:t>
            </w:r>
          </w:p>
        </w:tc>
        <w:tc>
          <w:tcPr>
            <w:tcW w:w="2180" w:type="dxa"/>
            <w:shd w:val="clear" w:color="auto" w:fill="00B0F0"/>
          </w:tcPr>
          <w:p w14:paraId="0600190B" w14:textId="77777777" w:rsidR="0041013D" w:rsidRPr="00D713E4" w:rsidRDefault="0041013D" w:rsidP="006C1CE5">
            <w:pPr>
              <w:jc w:val="center"/>
              <w:rPr>
                <w:b/>
                <w:bCs/>
                <w:noProof/>
                <w:color w:val="000000" w:themeColor="text1"/>
              </w:rPr>
            </w:pPr>
            <w:r>
              <w:rPr>
                <w:b/>
                <w:bCs/>
                <w:noProof/>
                <w:color w:val="000000" w:themeColor="text1"/>
              </w:rPr>
              <w:t>BAME</w:t>
            </w:r>
          </w:p>
        </w:tc>
      </w:tr>
      <w:tr w:rsidR="0041013D" w14:paraId="0FD07B5F" w14:textId="77777777" w:rsidTr="00E27220">
        <w:tc>
          <w:tcPr>
            <w:tcW w:w="2306" w:type="dxa"/>
          </w:tcPr>
          <w:p w14:paraId="7F8FAF93" w14:textId="5E3D88F4" w:rsidR="0041013D" w:rsidRPr="00D713E4" w:rsidRDefault="003B5266" w:rsidP="006C1CE5">
            <w:pPr>
              <w:jc w:val="center"/>
              <w:rPr>
                <w:bCs/>
                <w:noProof/>
                <w:color w:val="000000" w:themeColor="text1"/>
              </w:rPr>
            </w:pPr>
            <w:r>
              <w:rPr>
                <w:bCs/>
                <w:noProof/>
                <w:color w:val="000000" w:themeColor="text1"/>
              </w:rPr>
              <w:t>11</w:t>
            </w:r>
            <w:r w:rsidR="00052737">
              <w:rPr>
                <w:bCs/>
                <w:noProof/>
                <w:color w:val="000000" w:themeColor="text1"/>
              </w:rPr>
              <w:t xml:space="preserve"> (</w:t>
            </w:r>
            <w:r w:rsidR="00290A24">
              <w:rPr>
                <w:bCs/>
                <w:noProof/>
                <w:color w:val="000000" w:themeColor="text1"/>
              </w:rPr>
              <w:t>8</w:t>
            </w:r>
            <w:r w:rsidR="00854B4C">
              <w:rPr>
                <w:bCs/>
                <w:noProof/>
                <w:color w:val="000000" w:themeColor="text1"/>
              </w:rPr>
              <w:t>4.6</w:t>
            </w:r>
            <w:r w:rsidR="00290A24">
              <w:rPr>
                <w:bCs/>
                <w:noProof/>
                <w:color w:val="000000" w:themeColor="text1"/>
              </w:rPr>
              <w:t>%)</w:t>
            </w:r>
          </w:p>
        </w:tc>
        <w:tc>
          <w:tcPr>
            <w:tcW w:w="2129" w:type="dxa"/>
          </w:tcPr>
          <w:p w14:paraId="464F97E8" w14:textId="667257B6" w:rsidR="0041013D" w:rsidRDefault="003B5266" w:rsidP="006C1CE5">
            <w:pPr>
              <w:jc w:val="center"/>
              <w:rPr>
                <w:bCs/>
                <w:noProof/>
                <w:color w:val="000000" w:themeColor="text1"/>
              </w:rPr>
            </w:pPr>
            <w:r>
              <w:rPr>
                <w:bCs/>
                <w:noProof/>
                <w:color w:val="000000" w:themeColor="text1"/>
              </w:rPr>
              <w:t>2</w:t>
            </w:r>
            <w:r w:rsidR="009A0E88">
              <w:rPr>
                <w:bCs/>
                <w:noProof/>
                <w:color w:val="000000" w:themeColor="text1"/>
              </w:rPr>
              <w:t xml:space="preserve"> </w:t>
            </w:r>
            <w:r w:rsidR="00052737">
              <w:rPr>
                <w:bCs/>
                <w:noProof/>
                <w:color w:val="000000" w:themeColor="text1"/>
              </w:rPr>
              <w:t>(15.4)</w:t>
            </w:r>
          </w:p>
        </w:tc>
        <w:tc>
          <w:tcPr>
            <w:tcW w:w="2401" w:type="dxa"/>
          </w:tcPr>
          <w:p w14:paraId="768382B5" w14:textId="6EA99C89" w:rsidR="0041013D" w:rsidRPr="00D713E4" w:rsidRDefault="003B5266" w:rsidP="006C1CE5">
            <w:pPr>
              <w:jc w:val="center"/>
              <w:rPr>
                <w:bCs/>
                <w:noProof/>
                <w:color w:val="000000" w:themeColor="text1"/>
              </w:rPr>
            </w:pPr>
            <w:r>
              <w:rPr>
                <w:bCs/>
                <w:noProof/>
                <w:color w:val="000000" w:themeColor="text1"/>
              </w:rPr>
              <w:t>11</w:t>
            </w:r>
            <w:r w:rsidR="00854B4C">
              <w:rPr>
                <w:bCs/>
                <w:noProof/>
                <w:color w:val="000000" w:themeColor="text1"/>
              </w:rPr>
              <w:t xml:space="preserve"> (78.6%)</w:t>
            </w:r>
          </w:p>
        </w:tc>
        <w:tc>
          <w:tcPr>
            <w:tcW w:w="2180" w:type="dxa"/>
          </w:tcPr>
          <w:p w14:paraId="2E3A5B62" w14:textId="63800C3F" w:rsidR="0041013D" w:rsidRDefault="003B5266" w:rsidP="006C1CE5">
            <w:pPr>
              <w:jc w:val="center"/>
              <w:rPr>
                <w:bCs/>
                <w:noProof/>
                <w:color w:val="000000" w:themeColor="text1"/>
              </w:rPr>
            </w:pPr>
            <w:r>
              <w:rPr>
                <w:bCs/>
                <w:noProof/>
                <w:color w:val="000000" w:themeColor="text1"/>
              </w:rPr>
              <w:t>3</w:t>
            </w:r>
            <w:r w:rsidR="009A0E88">
              <w:rPr>
                <w:bCs/>
                <w:noProof/>
                <w:color w:val="000000" w:themeColor="text1"/>
              </w:rPr>
              <w:t xml:space="preserve"> (21.4)</w:t>
            </w:r>
          </w:p>
        </w:tc>
      </w:tr>
    </w:tbl>
    <w:p w14:paraId="5C6CC137" w14:textId="1D7133AE" w:rsidR="00B05B87" w:rsidRDefault="003B5266" w:rsidP="00B05B87">
      <w:pPr>
        <w:rPr>
          <w:rFonts w:cstheme="minorHAnsi"/>
          <w:color w:val="808080" w:themeColor="background1" w:themeShade="80"/>
          <w:sz w:val="16"/>
          <w:szCs w:val="16"/>
        </w:rPr>
      </w:pPr>
      <w:r w:rsidRPr="00D36EB4">
        <w:rPr>
          <w:rFonts w:cstheme="minorHAnsi"/>
          <w:color w:val="808080" w:themeColor="background1" w:themeShade="80"/>
          <w:sz w:val="16"/>
          <w:szCs w:val="16"/>
        </w:rPr>
        <w:t>Table 1</w:t>
      </w:r>
      <w:r>
        <w:rPr>
          <w:rFonts w:cstheme="minorHAnsi"/>
          <w:color w:val="808080" w:themeColor="background1" w:themeShade="80"/>
          <w:sz w:val="16"/>
          <w:szCs w:val="16"/>
        </w:rPr>
        <w:t>2 Ethnicity of Board members</w:t>
      </w:r>
    </w:p>
    <w:tbl>
      <w:tblPr>
        <w:tblStyle w:val="TableGrid"/>
        <w:tblW w:w="0" w:type="auto"/>
        <w:tblLook w:val="04A0" w:firstRow="1" w:lastRow="0" w:firstColumn="1" w:lastColumn="0" w:noHBand="0" w:noVBand="1"/>
      </w:tblPr>
      <w:tblGrid>
        <w:gridCol w:w="2303"/>
        <w:gridCol w:w="2127"/>
        <w:gridCol w:w="2403"/>
        <w:gridCol w:w="2183"/>
      </w:tblGrid>
      <w:tr w:rsidR="00E27220" w:rsidRPr="00D713E4" w14:paraId="40AE4EBF" w14:textId="77777777" w:rsidTr="00741789">
        <w:tc>
          <w:tcPr>
            <w:tcW w:w="9016" w:type="dxa"/>
            <w:gridSpan w:val="4"/>
            <w:shd w:val="clear" w:color="auto" w:fill="00B0F0"/>
          </w:tcPr>
          <w:p w14:paraId="19A3EC56" w14:textId="01555A63" w:rsidR="00E27220" w:rsidRPr="00E27220" w:rsidRDefault="00E27220" w:rsidP="006C1CE5">
            <w:pPr>
              <w:jc w:val="center"/>
              <w:rPr>
                <w:b/>
                <w:bCs/>
                <w:noProof/>
                <w:color w:val="000000" w:themeColor="text1"/>
              </w:rPr>
            </w:pPr>
            <w:r w:rsidRPr="00E27220">
              <w:rPr>
                <w:rFonts w:cstheme="minorHAnsi"/>
                <w:b/>
                <w:bCs/>
                <w:color w:val="000000" w:themeColor="text1"/>
              </w:rPr>
              <w:t>Voting Board members</w:t>
            </w:r>
          </w:p>
        </w:tc>
      </w:tr>
      <w:tr w:rsidR="003B5266" w:rsidRPr="00D713E4" w14:paraId="0FB4550B" w14:textId="77777777" w:rsidTr="00E27220">
        <w:tc>
          <w:tcPr>
            <w:tcW w:w="4430" w:type="dxa"/>
            <w:gridSpan w:val="2"/>
            <w:shd w:val="clear" w:color="auto" w:fill="00B0F0"/>
          </w:tcPr>
          <w:p w14:paraId="53570EF8" w14:textId="77777777" w:rsidR="003B5266" w:rsidRPr="00D713E4" w:rsidRDefault="003B5266" w:rsidP="006C1CE5">
            <w:pPr>
              <w:jc w:val="center"/>
              <w:rPr>
                <w:b/>
                <w:bCs/>
                <w:noProof/>
                <w:color w:val="000000" w:themeColor="text1"/>
              </w:rPr>
            </w:pPr>
            <w:r w:rsidRPr="00D713E4">
              <w:rPr>
                <w:b/>
                <w:bCs/>
                <w:noProof/>
                <w:color w:val="000000" w:themeColor="text1"/>
              </w:rPr>
              <w:t>2020</w:t>
            </w:r>
          </w:p>
        </w:tc>
        <w:tc>
          <w:tcPr>
            <w:tcW w:w="4586" w:type="dxa"/>
            <w:gridSpan w:val="2"/>
            <w:shd w:val="clear" w:color="auto" w:fill="00B0F0"/>
          </w:tcPr>
          <w:p w14:paraId="4DE61B5B" w14:textId="77777777" w:rsidR="003B5266" w:rsidRPr="00D713E4" w:rsidRDefault="003B5266" w:rsidP="006C1CE5">
            <w:pPr>
              <w:jc w:val="center"/>
              <w:rPr>
                <w:b/>
                <w:bCs/>
                <w:noProof/>
                <w:color w:val="000000" w:themeColor="text1"/>
              </w:rPr>
            </w:pPr>
            <w:r w:rsidRPr="00D713E4">
              <w:rPr>
                <w:b/>
                <w:bCs/>
                <w:noProof/>
                <w:color w:val="000000" w:themeColor="text1"/>
              </w:rPr>
              <w:t>2021</w:t>
            </w:r>
          </w:p>
        </w:tc>
      </w:tr>
      <w:tr w:rsidR="003B5266" w:rsidRPr="00D713E4" w14:paraId="4C18C343" w14:textId="77777777" w:rsidTr="00E27220">
        <w:tc>
          <w:tcPr>
            <w:tcW w:w="2303" w:type="dxa"/>
            <w:shd w:val="clear" w:color="auto" w:fill="00B0F0"/>
          </w:tcPr>
          <w:p w14:paraId="142F3874" w14:textId="77777777" w:rsidR="003B5266" w:rsidRPr="00D713E4" w:rsidRDefault="003B5266" w:rsidP="006C1CE5">
            <w:pPr>
              <w:jc w:val="center"/>
              <w:rPr>
                <w:b/>
                <w:bCs/>
                <w:noProof/>
                <w:color w:val="000000" w:themeColor="text1"/>
              </w:rPr>
            </w:pPr>
            <w:r>
              <w:rPr>
                <w:b/>
                <w:bCs/>
                <w:noProof/>
                <w:color w:val="000000" w:themeColor="text1"/>
              </w:rPr>
              <w:t xml:space="preserve">White </w:t>
            </w:r>
          </w:p>
        </w:tc>
        <w:tc>
          <w:tcPr>
            <w:tcW w:w="2127" w:type="dxa"/>
            <w:shd w:val="clear" w:color="auto" w:fill="00B0F0"/>
          </w:tcPr>
          <w:p w14:paraId="7295691E" w14:textId="77777777" w:rsidR="003B5266" w:rsidRPr="00D713E4" w:rsidRDefault="003B5266" w:rsidP="006C1CE5">
            <w:pPr>
              <w:jc w:val="center"/>
              <w:rPr>
                <w:b/>
                <w:bCs/>
                <w:noProof/>
                <w:color w:val="000000" w:themeColor="text1"/>
              </w:rPr>
            </w:pPr>
            <w:r>
              <w:rPr>
                <w:b/>
                <w:bCs/>
                <w:noProof/>
                <w:color w:val="000000" w:themeColor="text1"/>
              </w:rPr>
              <w:t>BAME</w:t>
            </w:r>
          </w:p>
        </w:tc>
        <w:tc>
          <w:tcPr>
            <w:tcW w:w="2403" w:type="dxa"/>
            <w:shd w:val="clear" w:color="auto" w:fill="00B0F0"/>
          </w:tcPr>
          <w:p w14:paraId="68EE9FD4" w14:textId="77777777" w:rsidR="003B5266" w:rsidRPr="00D713E4" w:rsidRDefault="003B5266" w:rsidP="006C1CE5">
            <w:pPr>
              <w:jc w:val="center"/>
              <w:rPr>
                <w:b/>
                <w:bCs/>
                <w:noProof/>
                <w:color w:val="000000" w:themeColor="text1"/>
              </w:rPr>
            </w:pPr>
            <w:r>
              <w:rPr>
                <w:b/>
                <w:bCs/>
                <w:noProof/>
                <w:color w:val="000000" w:themeColor="text1"/>
              </w:rPr>
              <w:t>White</w:t>
            </w:r>
          </w:p>
        </w:tc>
        <w:tc>
          <w:tcPr>
            <w:tcW w:w="2183" w:type="dxa"/>
            <w:shd w:val="clear" w:color="auto" w:fill="00B0F0"/>
          </w:tcPr>
          <w:p w14:paraId="257672A4" w14:textId="77777777" w:rsidR="003B5266" w:rsidRPr="00D713E4" w:rsidRDefault="003B5266" w:rsidP="006C1CE5">
            <w:pPr>
              <w:jc w:val="center"/>
              <w:rPr>
                <w:b/>
                <w:bCs/>
                <w:noProof/>
                <w:color w:val="000000" w:themeColor="text1"/>
              </w:rPr>
            </w:pPr>
            <w:r>
              <w:rPr>
                <w:b/>
                <w:bCs/>
                <w:noProof/>
                <w:color w:val="000000" w:themeColor="text1"/>
              </w:rPr>
              <w:t>BAME</w:t>
            </w:r>
          </w:p>
        </w:tc>
      </w:tr>
      <w:tr w:rsidR="003B5266" w14:paraId="10D3A93C" w14:textId="77777777" w:rsidTr="00E27220">
        <w:tc>
          <w:tcPr>
            <w:tcW w:w="2303" w:type="dxa"/>
          </w:tcPr>
          <w:p w14:paraId="6D07B854" w14:textId="5A45EF24" w:rsidR="003B5266" w:rsidRPr="00D713E4" w:rsidRDefault="004C0DC9" w:rsidP="0060517C">
            <w:pPr>
              <w:jc w:val="center"/>
              <w:rPr>
                <w:bCs/>
                <w:noProof/>
                <w:color w:val="000000" w:themeColor="text1"/>
              </w:rPr>
            </w:pPr>
            <w:r>
              <w:rPr>
                <w:bCs/>
                <w:noProof/>
                <w:color w:val="000000" w:themeColor="text1"/>
              </w:rPr>
              <w:t>9</w:t>
            </w:r>
            <w:r w:rsidR="00E16E83">
              <w:rPr>
                <w:bCs/>
                <w:noProof/>
                <w:color w:val="000000" w:themeColor="text1"/>
              </w:rPr>
              <w:t xml:space="preserve"> </w:t>
            </w:r>
            <w:r w:rsidR="00522096">
              <w:rPr>
                <w:bCs/>
                <w:noProof/>
                <w:color w:val="000000" w:themeColor="text1"/>
              </w:rPr>
              <w:t>(81.8%)</w:t>
            </w:r>
          </w:p>
        </w:tc>
        <w:tc>
          <w:tcPr>
            <w:tcW w:w="2127" w:type="dxa"/>
          </w:tcPr>
          <w:p w14:paraId="5C376A4C" w14:textId="57CCBF18" w:rsidR="003B5266" w:rsidRDefault="004C0DC9" w:rsidP="0060517C">
            <w:pPr>
              <w:jc w:val="center"/>
              <w:rPr>
                <w:bCs/>
                <w:noProof/>
                <w:color w:val="000000" w:themeColor="text1"/>
              </w:rPr>
            </w:pPr>
            <w:r>
              <w:rPr>
                <w:bCs/>
                <w:noProof/>
                <w:color w:val="000000" w:themeColor="text1"/>
              </w:rPr>
              <w:t>2</w:t>
            </w:r>
            <w:r w:rsidR="00522096">
              <w:rPr>
                <w:bCs/>
                <w:noProof/>
                <w:color w:val="000000" w:themeColor="text1"/>
              </w:rPr>
              <w:t xml:space="preserve"> (18.2)</w:t>
            </w:r>
          </w:p>
        </w:tc>
        <w:tc>
          <w:tcPr>
            <w:tcW w:w="2403" w:type="dxa"/>
          </w:tcPr>
          <w:p w14:paraId="54F5C225" w14:textId="6BC8FBFF" w:rsidR="003B5266" w:rsidRPr="00D713E4" w:rsidRDefault="0060517C" w:rsidP="0060517C">
            <w:pPr>
              <w:jc w:val="center"/>
              <w:rPr>
                <w:bCs/>
                <w:noProof/>
                <w:color w:val="000000" w:themeColor="text1"/>
              </w:rPr>
            </w:pPr>
            <w:r>
              <w:rPr>
                <w:bCs/>
                <w:noProof/>
                <w:color w:val="000000" w:themeColor="text1"/>
              </w:rPr>
              <w:t>9(</w:t>
            </w:r>
            <w:r w:rsidR="00D10F12">
              <w:rPr>
                <w:bCs/>
                <w:noProof/>
                <w:color w:val="000000" w:themeColor="text1"/>
              </w:rPr>
              <w:t>81.8%</w:t>
            </w:r>
            <w:r>
              <w:rPr>
                <w:bCs/>
                <w:noProof/>
                <w:color w:val="000000" w:themeColor="text1"/>
              </w:rPr>
              <w:t>)</w:t>
            </w:r>
          </w:p>
        </w:tc>
        <w:tc>
          <w:tcPr>
            <w:tcW w:w="2183" w:type="dxa"/>
          </w:tcPr>
          <w:p w14:paraId="7325EBCA" w14:textId="312A8B75" w:rsidR="003B5266" w:rsidRDefault="004C0DC9" w:rsidP="0060517C">
            <w:pPr>
              <w:jc w:val="center"/>
              <w:rPr>
                <w:bCs/>
                <w:noProof/>
                <w:color w:val="000000" w:themeColor="text1"/>
              </w:rPr>
            </w:pPr>
            <w:r>
              <w:rPr>
                <w:bCs/>
                <w:noProof/>
                <w:color w:val="000000" w:themeColor="text1"/>
              </w:rPr>
              <w:t>2</w:t>
            </w:r>
            <w:r w:rsidR="00D10F12">
              <w:rPr>
                <w:bCs/>
                <w:noProof/>
                <w:color w:val="000000" w:themeColor="text1"/>
              </w:rPr>
              <w:t xml:space="preserve"> (18.2%)</w:t>
            </w:r>
          </w:p>
        </w:tc>
      </w:tr>
    </w:tbl>
    <w:p w14:paraId="1AD8613F" w14:textId="4F615C8A" w:rsidR="003B5266" w:rsidRDefault="00E16E83" w:rsidP="00B05B87">
      <w:pPr>
        <w:rPr>
          <w:b/>
          <w:noProof/>
          <w:color w:val="AE2573"/>
        </w:rPr>
      </w:pPr>
      <w:r w:rsidRPr="00D36EB4">
        <w:rPr>
          <w:rFonts w:cstheme="minorHAnsi"/>
          <w:color w:val="808080" w:themeColor="background1" w:themeShade="80"/>
          <w:sz w:val="16"/>
          <w:szCs w:val="16"/>
        </w:rPr>
        <w:t>Table 1</w:t>
      </w:r>
      <w:r>
        <w:rPr>
          <w:rFonts w:cstheme="minorHAnsi"/>
          <w:color w:val="808080" w:themeColor="background1" w:themeShade="80"/>
          <w:sz w:val="16"/>
          <w:szCs w:val="16"/>
        </w:rPr>
        <w:t>3 Voting Board members</w:t>
      </w:r>
    </w:p>
    <w:p w14:paraId="42549DF3" w14:textId="77777777" w:rsidR="00A12C1F" w:rsidRDefault="00A346B1" w:rsidP="00A12C1F">
      <w:pPr>
        <w:jc w:val="both"/>
        <w:rPr>
          <w:noProof/>
          <w:color w:val="000000" w:themeColor="text1"/>
        </w:rPr>
      </w:pPr>
      <w:r>
        <w:rPr>
          <w:color w:val="000000" w:themeColor="text1"/>
        </w:rPr>
        <w:t>There is one more BAME Board member than last year.</w:t>
      </w:r>
      <w:r w:rsidR="003066EF">
        <w:rPr>
          <w:color w:val="000000" w:themeColor="text1"/>
        </w:rPr>
        <w:t xml:space="preserve">  </w:t>
      </w:r>
      <w:r w:rsidR="003066EF" w:rsidRPr="003066EF">
        <w:rPr>
          <w:noProof/>
          <w:color w:val="000000" w:themeColor="text1"/>
        </w:rPr>
        <w:t xml:space="preserve">Board diversity is important in order to avoid group think, it allows more nuanced discussions. Solent is proud to have its Chief </w:t>
      </w:r>
      <w:r w:rsidR="003066EF">
        <w:rPr>
          <w:noProof/>
          <w:color w:val="000000" w:themeColor="text1"/>
        </w:rPr>
        <w:t>People Officer</w:t>
      </w:r>
      <w:r w:rsidR="003066EF" w:rsidRPr="003066EF">
        <w:rPr>
          <w:noProof/>
          <w:color w:val="000000" w:themeColor="text1"/>
        </w:rPr>
        <w:t xml:space="preserve"> as its Board level champion to provide sponsorship</w:t>
      </w:r>
      <w:r w:rsidR="004A667B">
        <w:rPr>
          <w:noProof/>
          <w:color w:val="000000" w:themeColor="text1"/>
        </w:rPr>
        <w:t xml:space="preserve">. </w:t>
      </w:r>
      <w:r w:rsidR="00B6698E">
        <w:rPr>
          <w:noProof/>
          <w:color w:val="000000" w:themeColor="text1"/>
        </w:rPr>
        <w:t>The Board is fully committed to the diversity and inclusion agenda</w:t>
      </w:r>
      <w:r w:rsidR="00D73AE3">
        <w:rPr>
          <w:noProof/>
          <w:color w:val="000000" w:themeColor="text1"/>
        </w:rPr>
        <w:t>, and show visable leadership in this area.</w:t>
      </w:r>
    </w:p>
    <w:p w14:paraId="7507573B" w14:textId="72D3CC61" w:rsidR="003D4594" w:rsidRPr="00A12C1F" w:rsidRDefault="003D4594" w:rsidP="00A12C1F">
      <w:pPr>
        <w:jc w:val="both"/>
        <w:rPr>
          <w:noProof/>
          <w:color w:val="000000" w:themeColor="text1"/>
        </w:rPr>
      </w:pPr>
      <w:r>
        <w:rPr>
          <w:b/>
          <w:noProof/>
          <w:color w:val="AE2573"/>
        </w:rPr>
        <w:t>Conclusion</w:t>
      </w:r>
    </w:p>
    <w:p w14:paraId="5A0F669D" w14:textId="5508E6F5" w:rsidR="003D4594" w:rsidRPr="00C75C86" w:rsidRDefault="00525E9B" w:rsidP="003D4594">
      <w:pPr>
        <w:rPr>
          <w:bCs/>
          <w:noProof/>
          <w:color w:val="000000" w:themeColor="text1"/>
        </w:rPr>
      </w:pPr>
      <w:r w:rsidRPr="00C75C86">
        <w:rPr>
          <w:bCs/>
          <w:noProof/>
          <w:color w:val="000000" w:themeColor="text1"/>
        </w:rPr>
        <w:t>Althoug</w:t>
      </w:r>
      <w:r w:rsidR="001165DE" w:rsidRPr="00C75C86">
        <w:rPr>
          <w:bCs/>
          <w:noProof/>
          <w:color w:val="000000" w:themeColor="text1"/>
        </w:rPr>
        <w:t>h</w:t>
      </w:r>
      <w:r w:rsidRPr="00C75C86">
        <w:rPr>
          <w:bCs/>
          <w:noProof/>
          <w:color w:val="000000" w:themeColor="text1"/>
        </w:rPr>
        <w:t xml:space="preserve"> progress has been made on the majority of indicators there is still work to be done.  A</w:t>
      </w:r>
      <w:r w:rsidR="00561DB5">
        <w:rPr>
          <w:bCs/>
          <w:noProof/>
          <w:color w:val="000000" w:themeColor="text1"/>
        </w:rPr>
        <w:t xml:space="preserve"> comprehensive</w:t>
      </w:r>
      <w:r w:rsidRPr="00C75C86">
        <w:rPr>
          <w:bCs/>
          <w:noProof/>
          <w:color w:val="000000" w:themeColor="text1"/>
        </w:rPr>
        <w:t xml:space="preserve"> action plan has been developed with targets and actions for all indicators</w:t>
      </w:r>
      <w:r w:rsidR="00FA18B1" w:rsidRPr="00C75C86">
        <w:rPr>
          <w:bCs/>
          <w:noProof/>
          <w:color w:val="000000" w:themeColor="text1"/>
        </w:rPr>
        <w:t xml:space="preserve">. </w:t>
      </w:r>
      <w:r w:rsidR="00BF6558" w:rsidRPr="00C75C86">
        <w:rPr>
          <w:bCs/>
          <w:noProof/>
          <w:color w:val="000000" w:themeColor="text1"/>
        </w:rPr>
        <w:t xml:space="preserve">Actions have been allocated specific owners and progress on this will be reported to the WRES taskforce group and the Workforce and Organisational Development Committee.  Solent is </w:t>
      </w:r>
      <w:r w:rsidR="00D52C00" w:rsidRPr="00C75C86">
        <w:rPr>
          <w:bCs/>
          <w:noProof/>
          <w:color w:val="000000" w:themeColor="text1"/>
        </w:rPr>
        <w:t>committed to makin</w:t>
      </w:r>
      <w:r w:rsidR="001165DE" w:rsidRPr="00C75C86">
        <w:rPr>
          <w:bCs/>
          <w:noProof/>
          <w:color w:val="000000" w:themeColor="text1"/>
        </w:rPr>
        <w:t>g</w:t>
      </w:r>
      <w:r w:rsidR="00D52C00" w:rsidRPr="00C75C86">
        <w:rPr>
          <w:bCs/>
          <w:noProof/>
          <w:color w:val="000000" w:themeColor="text1"/>
        </w:rPr>
        <w:t xml:space="preserve"> stron</w:t>
      </w:r>
      <w:r w:rsidR="001165DE" w:rsidRPr="00C75C86">
        <w:rPr>
          <w:bCs/>
          <w:noProof/>
          <w:color w:val="000000" w:themeColor="text1"/>
        </w:rPr>
        <w:t>g</w:t>
      </w:r>
      <w:r w:rsidR="00D52C00" w:rsidRPr="00C75C86">
        <w:rPr>
          <w:bCs/>
          <w:noProof/>
          <w:color w:val="000000" w:themeColor="text1"/>
        </w:rPr>
        <w:t xml:space="preserve"> and sustained progress on the WRES indicators</w:t>
      </w:r>
      <w:r w:rsidR="001165DE" w:rsidRPr="00C75C86">
        <w:rPr>
          <w:bCs/>
          <w:noProof/>
          <w:color w:val="000000" w:themeColor="text1"/>
        </w:rPr>
        <w:t xml:space="preserve"> to advance opportunites and impr</w:t>
      </w:r>
      <w:r w:rsidR="00C75C86">
        <w:rPr>
          <w:bCs/>
          <w:noProof/>
          <w:color w:val="000000" w:themeColor="text1"/>
        </w:rPr>
        <w:t>o</w:t>
      </w:r>
      <w:r w:rsidR="001165DE" w:rsidRPr="00C75C86">
        <w:rPr>
          <w:bCs/>
          <w:noProof/>
          <w:color w:val="000000" w:themeColor="text1"/>
        </w:rPr>
        <w:t>ve experi</w:t>
      </w:r>
      <w:r w:rsidR="008D1C84">
        <w:rPr>
          <w:bCs/>
          <w:noProof/>
          <w:color w:val="000000" w:themeColor="text1"/>
        </w:rPr>
        <w:t>en</w:t>
      </w:r>
      <w:r w:rsidR="001165DE" w:rsidRPr="00C75C86">
        <w:rPr>
          <w:bCs/>
          <w:noProof/>
          <w:color w:val="000000" w:themeColor="text1"/>
        </w:rPr>
        <w:t>ces for all BAME staff</w:t>
      </w:r>
      <w:r w:rsidR="00C75C86" w:rsidRPr="00C75C86">
        <w:rPr>
          <w:bCs/>
          <w:noProof/>
          <w:color w:val="000000" w:themeColor="text1"/>
        </w:rPr>
        <w:t xml:space="preserve">.  Evidence shows that a </w:t>
      </w:r>
      <w:r w:rsidR="00C75C86" w:rsidRPr="00C75C86">
        <w:rPr>
          <w:noProof/>
          <w:color w:val="000000" w:themeColor="text1"/>
        </w:rPr>
        <w:t>motivated and inclusive workforce results in better patient care and increased patient satisfaction and safety</w:t>
      </w:r>
      <w:r w:rsidR="008D1C84">
        <w:rPr>
          <w:noProof/>
          <w:color w:val="000000" w:themeColor="text1"/>
        </w:rPr>
        <w:t>.</w:t>
      </w:r>
    </w:p>
    <w:p w14:paraId="4611A6BC" w14:textId="77777777" w:rsidR="003D4594" w:rsidRDefault="003D4594" w:rsidP="003066EF">
      <w:pPr>
        <w:jc w:val="both"/>
        <w:rPr>
          <w:noProof/>
          <w:color w:val="000000" w:themeColor="text1"/>
        </w:rPr>
      </w:pPr>
    </w:p>
    <w:p w14:paraId="4AC3D3FE" w14:textId="77777777" w:rsidR="00517C88" w:rsidRPr="003066EF" w:rsidRDefault="00517C88" w:rsidP="003066EF">
      <w:pPr>
        <w:jc w:val="both"/>
        <w:rPr>
          <w:noProof/>
          <w:color w:val="000000" w:themeColor="text1"/>
        </w:rPr>
      </w:pPr>
    </w:p>
    <w:p w14:paraId="1FE7CBB1" w14:textId="01B45D58" w:rsidR="00A04349" w:rsidRDefault="00A04349" w:rsidP="00087E07">
      <w:pPr>
        <w:rPr>
          <w:color w:val="000000" w:themeColor="text1"/>
        </w:rPr>
      </w:pPr>
    </w:p>
    <w:p w14:paraId="70E2AEC1" w14:textId="77777777" w:rsidR="00A04349" w:rsidRPr="00D36EB4" w:rsidRDefault="00A04349" w:rsidP="00087E07">
      <w:pPr>
        <w:rPr>
          <w:color w:val="000000" w:themeColor="text1"/>
        </w:rPr>
      </w:pPr>
    </w:p>
    <w:p w14:paraId="41558CA9" w14:textId="77777777" w:rsidR="005622A7" w:rsidRPr="00CE09E8" w:rsidRDefault="005622A7" w:rsidP="00087E07"/>
    <w:sectPr w:rsidR="005622A7" w:rsidRPr="00CE09E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7ED37" w14:textId="77777777" w:rsidR="009062B2" w:rsidRDefault="009062B2" w:rsidP="00AE2D51">
      <w:pPr>
        <w:spacing w:after="0" w:line="240" w:lineRule="auto"/>
      </w:pPr>
      <w:r>
        <w:separator/>
      </w:r>
    </w:p>
  </w:endnote>
  <w:endnote w:type="continuationSeparator" w:id="0">
    <w:p w14:paraId="6839A134" w14:textId="77777777" w:rsidR="009062B2" w:rsidRDefault="009062B2" w:rsidP="00AE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794104"/>
      <w:docPartObj>
        <w:docPartGallery w:val="Page Numbers (Bottom of Page)"/>
        <w:docPartUnique/>
      </w:docPartObj>
    </w:sdtPr>
    <w:sdtEndPr>
      <w:rPr>
        <w:noProof/>
      </w:rPr>
    </w:sdtEndPr>
    <w:sdtContent>
      <w:p w14:paraId="2950167E" w14:textId="20344B45" w:rsidR="00AE2D51" w:rsidRDefault="00AE2D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231F0" w14:textId="77777777" w:rsidR="00AE2D51" w:rsidRDefault="00AE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093C" w14:textId="77777777" w:rsidR="009062B2" w:rsidRDefault="009062B2" w:rsidP="00AE2D51">
      <w:pPr>
        <w:spacing w:after="0" w:line="240" w:lineRule="auto"/>
      </w:pPr>
      <w:r>
        <w:separator/>
      </w:r>
    </w:p>
  </w:footnote>
  <w:footnote w:type="continuationSeparator" w:id="0">
    <w:p w14:paraId="44B86176" w14:textId="77777777" w:rsidR="009062B2" w:rsidRDefault="009062B2" w:rsidP="00AE2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1F"/>
    <w:rsid w:val="00001F2C"/>
    <w:rsid w:val="00012F27"/>
    <w:rsid w:val="00022AD9"/>
    <w:rsid w:val="00023900"/>
    <w:rsid w:val="00024F03"/>
    <w:rsid w:val="0003385D"/>
    <w:rsid w:val="00052737"/>
    <w:rsid w:val="0006438D"/>
    <w:rsid w:val="0007576D"/>
    <w:rsid w:val="00087E07"/>
    <w:rsid w:val="0009514B"/>
    <w:rsid w:val="000A0390"/>
    <w:rsid w:val="000C3F2E"/>
    <w:rsid w:val="000C78AB"/>
    <w:rsid w:val="000D1B04"/>
    <w:rsid w:val="000D3A78"/>
    <w:rsid w:val="000E6696"/>
    <w:rsid w:val="001165DE"/>
    <w:rsid w:val="00123517"/>
    <w:rsid w:val="0014019A"/>
    <w:rsid w:val="001414C7"/>
    <w:rsid w:val="00152BF8"/>
    <w:rsid w:val="00153848"/>
    <w:rsid w:val="001578D0"/>
    <w:rsid w:val="00165DC2"/>
    <w:rsid w:val="00181A49"/>
    <w:rsid w:val="0018601B"/>
    <w:rsid w:val="00196174"/>
    <w:rsid w:val="001A1318"/>
    <w:rsid w:val="001B017E"/>
    <w:rsid w:val="001C6D8C"/>
    <w:rsid w:val="001D1270"/>
    <w:rsid w:val="001D4C5E"/>
    <w:rsid w:val="001D4E50"/>
    <w:rsid w:val="001E3286"/>
    <w:rsid w:val="001F4393"/>
    <w:rsid w:val="001F78DA"/>
    <w:rsid w:val="0020010D"/>
    <w:rsid w:val="00207D87"/>
    <w:rsid w:val="00230C6E"/>
    <w:rsid w:val="00231E62"/>
    <w:rsid w:val="002452BB"/>
    <w:rsid w:val="0027310F"/>
    <w:rsid w:val="00273758"/>
    <w:rsid w:val="00287832"/>
    <w:rsid w:val="00290A24"/>
    <w:rsid w:val="00290C73"/>
    <w:rsid w:val="0029765A"/>
    <w:rsid w:val="002A5395"/>
    <w:rsid w:val="002A78F3"/>
    <w:rsid w:val="002D062A"/>
    <w:rsid w:val="002D14B6"/>
    <w:rsid w:val="002D1887"/>
    <w:rsid w:val="002D25E0"/>
    <w:rsid w:val="002D5FBE"/>
    <w:rsid w:val="002E27E7"/>
    <w:rsid w:val="002F7EFF"/>
    <w:rsid w:val="003045DB"/>
    <w:rsid w:val="003066EF"/>
    <w:rsid w:val="0032111F"/>
    <w:rsid w:val="00335B26"/>
    <w:rsid w:val="00337929"/>
    <w:rsid w:val="0034094D"/>
    <w:rsid w:val="003454B2"/>
    <w:rsid w:val="00346884"/>
    <w:rsid w:val="003672FA"/>
    <w:rsid w:val="00370351"/>
    <w:rsid w:val="00374B8A"/>
    <w:rsid w:val="00383DE5"/>
    <w:rsid w:val="0038494F"/>
    <w:rsid w:val="003909F8"/>
    <w:rsid w:val="0039583F"/>
    <w:rsid w:val="003A321E"/>
    <w:rsid w:val="003B24DE"/>
    <w:rsid w:val="003B5266"/>
    <w:rsid w:val="003C6295"/>
    <w:rsid w:val="003D14C5"/>
    <w:rsid w:val="003D4594"/>
    <w:rsid w:val="003E31F3"/>
    <w:rsid w:val="00400DB0"/>
    <w:rsid w:val="0041013D"/>
    <w:rsid w:val="004114FC"/>
    <w:rsid w:val="004137E3"/>
    <w:rsid w:val="00424E46"/>
    <w:rsid w:val="00425C42"/>
    <w:rsid w:val="00447E64"/>
    <w:rsid w:val="0047489A"/>
    <w:rsid w:val="00475AD6"/>
    <w:rsid w:val="004822BF"/>
    <w:rsid w:val="004823F9"/>
    <w:rsid w:val="0048506C"/>
    <w:rsid w:val="00497B7B"/>
    <w:rsid w:val="004A667B"/>
    <w:rsid w:val="004C0DC9"/>
    <w:rsid w:val="004C2F0A"/>
    <w:rsid w:val="004C735A"/>
    <w:rsid w:val="004E0F04"/>
    <w:rsid w:val="004E718D"/>
    <w:rsid w:val="004E7A78"/>
    <w:rsid w:val="005012C2"/>
    <w:rsid w:val="0050231F"/>
    <w:rsid w:val="00503C50"/>
    <w:rsid w:val="00517C88"/>
    <w:rsid w:val="00522096"/>
    <w:rsid w:val="00525E9B"/>
    <w:rsid w:val="00547A0D"/>
    <w:rsid w:val="005551A5"/>
    <w:rsid w:val="00556609"/>
    <w:rsid w:val="00561DB5"/>
    <w:rsid w:val="005622A7"/>
    <w:rsid w:val="005704A0"/>
    <w:rsid w:val="005760F1"/>
    <w:rsid w:val="005908DE"/>
    <w:rsid w:val="00594228"/>
    <w:rsid w:val="0059659A"/>
    <w:rsid w:val="005A3BB4"/>
    <w:rsid w:val="005B66E6"/>
    <w:rsid w:val="005B6F71"/>
    <w:rsid w:val="005D1CF0"/>
    <w:rsid w:val="005E1BB1"/>
    <w:rsid w:val="005F7BEF"/>
    <w:rsid w:val="006046C8"/>
    <w:rsid w:val="0060517C"/>
    <w:rsid w:val="00622992"/>
    <w:rsid w:val="006465BA"/>
    <w:rsid w:val="00663F17"/>
    <w:rsid w:val="00675E51"/>
    <w:rsid w:val="00676F4C"/>
    <w:rsid w:val="0068547D"/>
    <w:rsid w:val="006A3214"/>
    <w:rsid w:val="006B397A"/>
    <w:rsid w:val="006D073B"/>
    <w:rsid w:val="006D6B59"/>
    <w:rsid w:val="006E1319"/>
    <w:rsid w:val="006E3EDC"/>
    <w:rsid w:val="006E4650"/>
    <w:rsid w:val="006F1E84"/>
    <w:rsid w:val="006F45FC"/>
    <w:rsid w:val="006F4DCA"/>
    <w:rsid w:val="00704281"/>
    <w:rsid w:val="007163C3"/>
    <w:rsid w:val="00732DA2"/>
    <w:rsid w:val="00736D01"/>
    <w:rsid w:val="00743346"/>
    <w:rsid w:val="0074403F"/>
    <w:rsid w:val="0074776F"/>
    <w:rsid w:val="00771172"/>
    <w:rsid w:val="007747A1"/>
    <w:rsid w:val="007751C2"/>
    <w:rsid w:val="007774D1"/>
    <w:rsid w:val="007D0B52"/>
    <w:rsid w:val="007D38C4"/>
    <w:rsid w:val="007D6B28"/>
    <w:rsid w:val="007D7C38"/>
    <w:rsid w:val="007E52BD"/>
    <w:rsid w:val="007E667C"/>
    <w:rsid w:val="00812185"/>
    <w:rsid w:val="0084343C"/>
    <w:rsid w:val="0084570B"/>
    <w:rsid w:val="00845A7E"/>
    <w:rsid w:val="00852955"/>
    <w:rsid w:val="00854B4C"/>
    <w:rsid w:val="00855B28"/>
    <w:rsid w:val="00863D13"/>
    <w:rsid w:val="0086535B"/>
    <w:rsid w:val="00873187"/>
    <w:rsid w:val="0087796D"/>
    <w:rsid w:val="0088574B"/>
    <w:rsid w:val="00886965"/>
    <w:rsid w:val="00886A6D"/>
    <w:rsid w:val="00890AF7"/>
    <w:rsid w:val="0089248E"/>
    <w:rsid w:val="00892615"/>
    <w:rsid w:val="00894B85"/>
    <w:rsid w:val="00897218"/>
    <w:rsid w:val="008C50BF"/>
    <w:rsid w:val="008C58CB"/>
    <w:rsid w:val="008C70F2"/>
    <w:rsid w:val="008D04A6"/>
    <w:rsid w:val="008D1C84"/>
    <w:rsid w:val="008D203E"/>
    <w:rsid w:val="008E49D2"/>
    <w:rsid w:val="009062B2"/>
    <w:rsid w:val="00923FF6"/>
    <w:rsid w:val="009279D4"/>
    <w:rsid w:val="009648E3"/>
    <w:rsid w:val="0096505F"/>
    <w:rsid w:val="00965B3D"/>
    <w:rsid w:val="00973C3C"/>
    <w:rsid w:val="00973D75"/>
    <w:rsid w:val="00974FCE"/>
    <w:rsid w:val="00976887"/>
    <w:rsid w:val="009866B4"/>
    <w:rsid w:val="009932BC"/>
    <w:rsid w:val="00997CAE"/>
    <w:rsid w:val="009A0E88"/>
    <w:rsid w:val="009A6601"/>
    <w:rsid w:val="009A6A44"/>
    <w:rsid w:val="009B0BDE"/>
    <w:rsid w:val="009B5CD4"/>
    <w:rsid w:val="009D1206"/>
    <w:rsid w:val="009F665F"/>
    <w:rsid w:val="009F6B70"/>
    <w:rsid w:val="009F7B79"/>
    <w:rsid w:val="00A00B85"/>
    <w:rsid w:val="00A04349"/>
    <w:rsid w:val="00A12C1F"/>
    <w:rsid w:val="00A30381"/>
    <w:rsid w:val="00A310B1"/>
    <w:rsid w:val="00A34541"/>
    <w:rsid w:val="00A346B1"/>
    <w:rsid w:val="00A35FBA"/>
    <w:rsid w:val="00A40789"/>
    <w:rsid w:val="00A44F2B"/>
    <w:rsid w:val="00A6649D"/>
    <w:rsid w:val="00A760FF"/>
    <w:rsid w:val="00A76955"/>
    <w:rsid w:val="00A91FE6"/>
    <w:rsid w:val="00A96296"/>
    <w:rsid w:val="00AA3C9A"/>
    <w:rsid w:val="00AB30B3"/>
    <w:rsid w:val="00AB5C26"/>
    <w:rsid w:val="00AD49CF"/>
    <w:rsid w:val="00AE2D51"/>
    <w:rsid w:val="00AF4627"/>
    <w:rsid w:val="00AF7302"/>
    <w:rsid w:val="00B05B87"/>
    <w:rsid w:val="00B23FCE"/>
    <w:rsid w:val="00B260B0"/>
    <w:rsid w:val="00B5510F"/>
    <w:rsid w:val="00B6698E"/>
    <w:rsid w:val="00B70EC9"/>
    <w:rsid w:val="00B92BB8"/>
    <w:rsid w:val="00BB562B"/>
    <w:rsid w:val="00BC38D4"/>
    <w:rsid w:val="00BD344B"/>
    <w:rsid w:val="00BD5580"/>
    <w:rsid w:val="00BE39B2"/>
    <w:rsid w:val="00BF5A4D"/>
    <w:rsid w:val="00BF5EC7"/>
    <w:rsid w:val="00BF6558"/>
    <w:rsid w:val="00C0435B"/>
    <w:rsid w:val="00C240EB"/>
    <w:rsid w:val="00C32D3A"/>
    <w:rsid w:val="00C34FD2"/>
    <w:rsid w:val="00C40099"/>
    <w:rsid w:val="00C431CC"/>
    <w:rsid w:val="00C530ED"/>
    <w:rsid w:val="00C60BF0"/>
    <w:rsid w:val="00C6416B"/>
    <w:rsid w:val="00C7511D"/>
    <w:rsid w:val="00C75C86"/>
    <w:rsid w:val="00C76823"/>
    <w:rsid w:val="00C8349F"/>
    <w:rsid w:val="00C94A49"/>
    <w:rsid w:val="00CB34EF"/>
    <w:rsid w:val="00CC1032"/>
    <w:rsid w:val="00CC4ABF"/>
    <w:rsid w:val="00CD7917"/>
    <w:rsid w:val="00CE09E8"/>
    <w:rsid w:val="00CF2423"/>
    <w:rsid w:val="00D07674"/>
    <w:rsid w:val="00D0792E"/>
    <w:rsid w:val="00D10F12"/>
    <w:rsid w:val="00D14D73"/>
    <w:rsid w:val="00D26F4B"/>
    <w:rsid w:val="00D36A3F"/>
    <w:rsid w:val="00D36EB4"/>
    <w:rsid w:val="00D50474"/>
    <w:rsid w:val="00D52C00"/>
    <w:rsid w:val="00D54F91"/>
    <w:rsid w:val="00D60275"/>
    <w:rsid w:val="00D664FA"/>
    <w:rsid w:val="00D713E4"/>
    <w:rsid w:val="00D73AE3"/>
    <w:rsid w:val="00D74459"/>
    <w:rsid w:val="00D9611F"/>
    <w:rsid w:val="00D97B5E"/>
    <w:rsid w:val="00DA6E3A"/>
    <w:rsid w:val="00DB512B"/>
    <w:rsid w:val="00DD3B44"/>
    <w:rsid w:val="00DE6516"/>
    <w:rsid w:val="00E0405B"/>
    <w:rsid w:val="00E04B22"/>
    <w:rsid w:val="00E07EC4"/>
    <w:rsid w:val="00E16E83"/>
    <w:rsid w:val="00E268E3"/>
    <w:rsid w:val="00E27220"/>
    <w:rsid w:val="00E27B5B"/>
    <w:rsid w:val="00E31F8B"/>
    <w:rsid w:val="00E53ED5"/>
    <w:rsid w:val="00E55451"/>
    <w:rsid w:val="00E63DAF"/>
    <w:rsid w:val="00E66412"/>
    <w:rsid w:val="00E70326"/>
    <w:rsid w:val="00E73B4C"/>
    <w:rsid w:val="00E941B5"/>
    <w:rsid w:val="00E9562B"/>
    <w:rsid w:val="00E964FD"/>
    <w:rsid w:val="00EA7527"/>
    <w:rsid w:val="00EB0729"/>
    <w:rsid w:val="00EB1A03"/>
    <w:rsid w:val="00EB317F"/>
    <w:rsid w:val="00EB41DC"/>
    <w:rsid w:val="00EE2EF0"/>
    <w:rsid w:val="00EF0104"/>
    <w:rsid w:val="00EF7132"/>
    <w:rsid w:val="00F0089B"/>
    <w:rsid w:val="00F1459D"/>
    <w:rsid w:val="00F346AB"/>
    <w:rsid w:val="00F40BFA"/>
    <w:rsid w:val="00F41500"/>
    <w:rsid w:val="00F432F5"/>
    <w:rsid w:val="00F44E37"/>
    <w:rsid w:val="00F5362D"/>
    <w:rsid w:val="00F56E6E"/>
    <w:rsid w:val="00F57C02"/>
    <w:rsid w:val="00F74B63"/>
    <w:rsid w:val="00F77C7F"/>
    <w:rsid w:val="00F90AE7"/>
    <w:rsid w:val="00F94EE1"/>
    <w:rsid w:val="00FA18B1"/>
    <w:rsid w:val="00FA3DDF"/>
    <w:rsid w:val="00FA6CC3"/>
    <w:rsid w:val="00FB14C0"/>
    <w:rsid w:val="00FB3033"/>
    <w:rsid w:val="00FB7E31"/>
    <w:rsid w:val="00FD3F30"/>
    <w:rsid w:val="00FD3F8D"/>
    <w:rsid w:val="00FD4D81"/>
    <w:rsid w:val="00FE0EB0"/>
    <w:rsid w:val="00FE2A54"/>
    <w:rsid w:val="00FF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09FC"/>
  <w15:chartTrackingRefBased/>
  <w15:docId w15:val="{67A063AB-47BF-4E6F-BA92-75C2A7C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E04B22"/>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AE2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D51"/>
  </w:style>
  <w:style w:type="paragraph" w:styleId="Footer">
    <w:name w:val="footer"/>
    <w:basedOn w:val="Normal"/>
    <w:link w:val="FooterChar"/>
    <w:uiPriority w:val="99"/>
    <w:unhideWhenUsed/>
    <w:rsid w:val="00AE2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D51"/>
  </w:style>
  <w:style w:type="character" w:styleId="CommentReference">
    <w:name w:val="annotation reference"/>
    <w:basedOn w:val="DefaultParagraphFont"/>
    <w:uiPriority w:val="99"/>
    <w:semiHidden/>
    <w:unhideWhenUsed/>
    <w:rsid w:val="0018601B"/>
    <w:rPr>
      <w:sz w:val="16"/>
      <w:szCs w:val="16"/>
    </w:rPr>
  </w:style>
  <w:style w:type="paragraph" w:styleId="CommentText">
    <w:name w:val="annotation text"/>
    <w:basedOn w:val="Normal"/>
    <w:link w:val="CommentTextChar"/>
    <w:uiPriority w:val="99"/>
    <w:semiHidden/>
    <w:unhideWhenUsed/>
    <w:rsid w:val="0018601B"/>
    <w:pPr>
      <w:spacing w:line="240" w:lineRule="auto"/>
    </w:pPr>
    <w:rPr>
      <w:sz w:val="20"/>
      <w:szCs w:val="20"/>
    </w:rPr>
  </w:style>
  <w:style w:type="character" w:customStyle="1" w:styleId="CommentTextChar">
    <w:name w:val="Comment Text Char"/>
    <w:basedOn w:val="DefaultParagraphFont"/>
    <w:link w:val="CommentText"/>
    <w:uiPriority w:val="99"/>
    <w:semiHidden/>
    <w:rsid w:val="0018601B"/>
    <w:rPr>
      <w:sz w:val="20"/>
      <w:szCs w:val="20"/>
    </w:rPr>
  </w:style>
  <w:style w:type="paragraph" w:styleId="CommentSubject">
    <w:name w:val="annotation subject"/>
    <w:basedOn w:val="CommentText"/>
    <w:next w:val="CommentText"/>
    <w:link w:val="CommentSubjectChar"/>
    <w:uiPriority w:val="99"/>
    <w:semiHidden/>
    <w:unhideWhenUsed/>
    <w:rsid w:val="0018601B"/>
    <w:rPr>
      <w:b/>
      <w:bCs/>
    </w:rPr>
  </w:style>
  <w:style w:type="character" w:customStyle="1" w:styleId="CommentSubjectChar">
    <w:name w:val="Comment Subject Char"/>
    <w:basedOn w:val="CommentTextChar"/>
    <w:link w:val="CommentSubject"/>
    <w:uiPriority w:val="99"/>
    <w:semiHidden/>
    <w:rsid w:val="0018601B"/>
    <w:rPr>
      <w:b/>
      <w:bCs/>
      <w:sz w:val="20"/>
      <w:szCs w:val="20"/>
    </w:rPr>
  </w:style>
  <w:style w:type="paragraph" w:styleId="BalloonText">
    <w:name w:val="Balloon Text"/>
    <w:basedOn w:val="Normal"/>
    <w:link w:val="BalloonTextChar"/>
    <w:uiPriority w:val="99"/>
    <w:semiHidden/>
    <w:unhideWhenUsed/>
    <w:rsid w:val="00AA3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46811">
      <w:bodyDiv w:val="1"/>
      <w:marLeft w:val="0"/>
      <w:marRight w:val="0"/>
      <w:marTop w:val="0"/>
      <w:marBottom w:val="0"/>
      <w:divBdr>
        <w:top w:val="none" w:sz="0" w:space="0" w:color="auto"/>
        <w:left w:val="none" w:sz="0" w:space="0" w:color="auto"/>
        <w:bottom w:val="none" w:sz="0" w:space="0" w:color="auto"/>
        <w:right w:val="none" w:sz="0" w:space="0" w:color="auto"/>
      </w:divBdr>
    </w:div>
    <w:div w:id="8432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White</a:t>
            </a:r>
            <a:r>
              <a:rPr lang="en-GB" baseline="0"/>
              <a:t> and BAME Workforce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cat>
            <c:numRef>
              <c:f>Sheet1!$A$2:$A$5</c:f>
              <c:numCache>
                <c:formatCode>General</c:formatCode>
                <c:ptCount val="4"/>
                <c:pt idx="0">
                  <c:v>2020</c:v>
                </c:pt>
                <c:pt idx="1">
                  <c:v>2021</c:v>
                </c:pt>
              </c:numCache>
            </c:numRef>
          </c:cat>
          <c:val>
            <c:numRef>
              <c:f>Sheet1!$B$2:$B$5</c:f>
              <c:numCache>
                <c:formatCode>General</c:formatCode>
                <c:ptCount val="4"/>
                <c:pt idx="0">
                  <c:v>3274</c:v>
                </c:pt>
                <c:pt idx="1">
                  <c:v>3531</c:v>
                </c:pt>
              </c:numCache>
            </c:numRef>
          </c:val>
          <c:extLst>
            <c:ext xmlns:c16="http://schemas.microsoft.com/office/drawing/2014/chart" uri="{C3380CC4-5D6E-409C-BE32-E72D297353CC}">
              <c16:uniqueId val="{00000000-AE6C-4566-ACEC-F8584A53D504}"/>
            </c:ext>
          </c:extLst>
        </c:ser>
        <c:ser>
          <c:idx val="1"/>
          <c:order val="1"/>
          <c:tx>
            <c:strRef>
              <c:f>Sheet1!$C$1</c:f>
              <c:strCache>
                <c:ptCount val="1"/>
                <c:pt idx="0">
                  <c:v>BAME</c:v>
                </c:pt>
              </c:strCache>
            </c:strRef>
          </c:tx>
          <c:spPr>
            <a:solidFill>
              <a:schemeClr val="accent2"/>
            </a:solidFill>
            <a:ln>
              <a:noFill/>
            </a:ln>
            <a:effectLst/>
          </c:spPr>
          <c:invertIfNegative val="0"/>
          <c:cat>
            <c:numRef>
              <c:f>Sheet1!$A$2:$A$5</c:f>
              <c:numCache>
                <c:formatCode>General</c:formatCode>
                <c:ptCount val="4"/>
                <c:pt idx="0">
                  <c:v>2020</c:v>
                </c:pt>
                <c:pt idx="1">
                  <c:v>2021</c:v>
                </c:pt>
              </c:numCache>
            </c:numRef>
          </c:cat>
          <c:val>
            <c:numRef>
              <c:f>Sheet1!$C$2:$C$5</c:f>
              <c:numCache>
                <c:formatCode>General</c:formatCode>
                <c:ptCount val="4"/>
                <c:pt idx="0">
                  <c:v>335</c:v>
                </c:pt>
                <c:pt idx="1">
                  <c:v>364</c:v>
                </c:pt>
              </c:numCache>
            </c:numRef>
          </c:val>
          <c:extLst>
            <c:ext xmlns:c16="http://schemas.microsoft.com/office/drawing/2014/chart" uri="{C3380CC4-5D6E-409C-BE32-E72D297353CC}">
              <c16:uniqueId val="{00000001-AE6C-4566-ACEC-F8584A53D504}"/>
            </c:ext>
          </c:extLst>
        </c:ser>
        <c:ser>
          <c:idx val="2"/>
          <c:order val="2"/>
          <c:tx>
            <c:strRef>
              <c:f>Sheet1!$D$1</c:f>
              <c:strCache>
                <c:ptCount val="1"/>
                <c:pt idx="0">
                  <c:v>Unknown</c:v>
                </c:pt>
              </c:strCache>
            </c:strRef>
          </c:tx>
          <c:spPr>
            <a:solidFill>
              <a:schemeClr val="accent3"/>
            </a:solidFill>
            <a:ln>
              <a:noFill/>
            </a:ln>
            <a:effectLst/>
          </c:spPr>
          <c:invertIfNegative val="0"/>
          <c:cat>
            <c:numRef>
              <c:f>Sheet1!$A$2:$A$5</c:f>
              <c:numCache>
                <c:formatCode>General</c:formatCode>
                <c:ptCount val="4"/>
                <c:pt idx="0">
                  <c:v>2020</c:v>
                </c:pt>
                <c:pt idx="1">
                  <c:v>2021</c:v>
                </c:pt>
              </c:numCache>
            </c:numRef>
          </c:cat>
          <c:val>
            <c:numRef>
              <c:f>Sheet1!$D$2:$D$5</c:f>
              <c:numCache>
                <c:formatCode>General</c:formatCode>
                <c:ptCount val="4"/>
                <c:pt idx="0">
                  <c:v>29</c:v>
                </c:pt>
                <c:pt idx="1">
                  <c:v>35</c:v>
                </c:pt>
              </c:numCache>
            </c:numRef>
          </c:val>
          <c:extLst>
            <c:ext xmlns:c16="http://schemas.microsoft.com/office/drawing/2014/chart" uri="{C3380CC4-5D6E-409C-BE32-E72D297353CC}">
              <c16:uniqueId val="{00000002-AE6C-4566-ACEC-F8584A53D504}"/>
            </c:ext>
          </c:extLst>
        </c:ser>
        <c:dLbls>
          <c:showLegendKey val="0"/>
          <c:showVal val="0"/>
          <c:showCatName val="0"/>
          <c:showSerName val="0"/>
          <c:showPercent val="0"/>
          <c:showBubbleSize val="0"/>
        </c:dLbls>
        <c:gapWidth val="219"/>
        <c:overlap val="-27"/>
        <c:axId val="666186648"/>
        <c:axId val="666194192"/>
      </c:barChart>
      <c:catAx>
        <c:axId val="666186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194192"/>
        <c:crosses val="autoZero"/>
        <c:auto val="1"/>
        <c:lblAlgn val="ctr"/>
        <c:lblOffset val="100"/>
        <c:noMultiLvlLbl val="0"/>
      </c:catAx>
      <c:valAx>
        <c:axId val="66619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6186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White</a:t>
            </a:r>
            <a:r>
              <a:rPr lang="en-GB" baseline="0"/>
              <a:t> and BAME Non-clinical Workforce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cat>
            <c:strRef>
              <c:f>Sheet1!$A$2:$A$14</c:f>
              <c:strCache>
                <c:ptCount val="13"/>
                <c:pt idx="0">
                  <c:v>Band 1</c:v>
                </c:pt>
                <c:pt idx="1">
                  <c:v>Band 2</c:v>
                </c:pt>
                <c:pt idx="2">
                  <c:v>Band 3</c:v>
                </c:pt>
                <c:pt idx="3">
                  <c:v>Band 4</c:v>
                </c:pt>
                <c:pt idx="4">
                  <c:v>Band 5</c:v>
                </c:pt>
                <c:pt idx="5">
                  <c:v>Band 6</c:v>
                </c:pt>
                <c:pt idx="6">
                  <c:v> Band 7</c:v>
                </c:pt>
                <c:pt idx="7">
                  <c:v>Band 8a</c:v>
                </c:pt>
                <c:pt idx="8">
                  <c:v>Band 8b</c:v>
                </c:pt>
                <c:pt idx="9">
                  <c:v>Band 8c</c:v>
                </c:pt>
                <c:pt idx="10">
                  <c:v>Band 8d</c:v>
                </c:pt>
                <c:pt idx="11">
                  <c:v>Band 9</c:v>
                </c:pt>
                <c:pt idx="12">
                  <c:v>VSM</c:v>
                </c:pt>
              </c:strCache>
            </c:strRef>
          </c:cat>
          <c:val>
            <c:numRef>
              <c:f>Sheet1!$B$2:$B$14</c:f>
              <c:numCache>
                <c:formatCode>General</c:formatCode>
                <c:ptCount val="13"/>
                <c:pt idx="0">
                  <c:v>11</c:v>
                </c:pt>
                <c:pt idx="1">
                  <c:v>277</c:v>
                </c:pt>
                <c:pt idx="2">
                  <c:v>337</c:v>
                </c:pt>
                <c:pt idx="3">
                  <c:v>109</c:v>
                </c:pt>
                <c:pt idx="4">
                  <c:v>110</c:v>
                </c:pt>
                <c:pt idx="5">
                  <c:v>65</c:v>
                </c:pt>
                <c:pt idx="6">
                  <c:v>64</c:v>
                </c:pt>
                <c:pt idx="7">
                  <c:v>30</c:v>
                </c:pt>
                <c:pt idx="8">
                  <c:v>21</c:v>
                </c:pt>
                <c:pt idx="9">
                  <c:v>17</c:v>
                </c:pt>
                <c:pt idx="10">
                  <c:v>15</c:v>
                </c:pt>
                <c:pt idx="11">
                  <c:v>5</c:v>
                </c:pt>
                <c:pt idx="12">
                  <c:v>4</c:v>
                </c:pt>
              </c:numCache>
            </c:numRef>
          </c:val>
          <c:extLst>
            <c:ext xmlns:c16="http://schemas.microsoft.com/office/drawing/2014/chart" uri="{C3380CC4-5D6E-409C-BE32-E72D297353CC}">
              <c16:uniqueId val="{00000000-0A5B-442A-9C44-ED0A42C59F23}"/>
            </c:ext>
          </c:extLst>
        </c:ser>
        <c:ser>
          <c:idx val="1"/>
          <c:order val="1"/>
          <c:tx>
            <c:strRef>
              <c:f>Sheet1!$C$1</c:f>
              <c:strCache>
                <c:ptCount val="1"/>
                <c:pt idx="0">
                  <c:v>BAME</c:v>
                </c:pt>
              </c:strCache>
            </c:strRef>
          </c:tx>
          <c:spPr>
            <a:solidFill>
              <a:schemeClr val="accent2"/>
            </a:solidFill>
            <a:ln>
              <a:noFill/>
            </a:ln>
            <a:effectLst/>
          </c:spPr>
          <c:invertIfNegative val="0"/>
          <c:cat>
            <c:strRef>
              <c:f>Sheet1!$A$2:$A$14</c:f>
              <c:strCache>
                <c:ptCount val="13"/>
                <c:pt idx="0">
                  <c:v>Band 1</c:v>
                </c:pt>
                <c:pt idx="1">
                  <c:v>Band 2</c:v>
                </c:pt>
                <c:pt idx="2">
                  <c:v>Band 3</c:v>
                </c:pt>
                <c:pt idx="3">
                  <c:v>Band 4</c:v>
                </c:pt>
                <c:pt idx="4">
                  <c:v>Band 5</c:v>
                </c:pt>
                <c:pt idx="5">
                  <c:v>Band 6</c:v>
                </c:pt>
                <c:pt idx="6">
                  <c:v> Band 7</c:v>
                </c:pt>
                <c:pt idx="7">
                  <c:v>Band 8a</c:v>
                </c:pt>
                <c:pt idx="8">
                  <c:v>Band 8b</c:v>
                </c:pt>
                <c:pt idx="9">
                  <c:v>Band 8c</c:v>
                </c:pt>
                <c:pt idx="10">
                  <c:v>Band 8d</c:v>
                </c:pt>
                <c:pt idx="11">
                  <c:v>Band 9</c:v>
                </c:pt>
                <c:pt idx="12">
                  <c:v>VSM</c:v>
                </c:pt>
              </c:strCache>
            </c:strRef>
          </c:cat>
          <c:val>
            <c:numRef>
              <c:f>Sheet1!$C$2:$C$14</c:f>
              <c:numCache>
                <c:formatCode>General</c:formatCode>
                <c:ptCount val="13"/>
                <c:pt idx="0">
                  <c:v>1</c:v>
                </c:pt>
                <c:pt idx="1">
                  <c:v>37</c:v>
                </c:pt>
                <c:pt idx="2">
                  <c:v>21</c:v>
                </c:pt>
                <c:pt idx="3">
                  <c:v>5</c:v>
                </c:pt>
                <c:pt idx="4">
                  <c:v>6</c:v>
                </c:pt>
                <c:pt idx="5">
                  <c:v>3</c:v>
                </c:pt>
                <c:pt idx="6">
                  <c:v>4</c:v>
                </c:pt>
                <c:pt idx="7">
                  <c:v>1</c:v>
                </c:pt>
                <c:pt idx="8">
                  <c:v>0</c:v>
                </c:pt>
                <c:pt idx="9">
                  <c:v>1</c:v>
                </c:pt>
                <c:pt idx="10">
                  <c:v>2</c:v>
                </c:pt>
                <c:pt idx="11">
                  <c:v>1</c:v>
                </c:pt>
                <c:pt idx="12">
                  <c:v>0</c:v>
                </c:pt>
              </c:numCache>
            </c:numRef>
          </c:val>
          <c:extLst>
            <c:ext xmlns:c16="http://schemas.microsoft.com/office/drawing/2014/chart" uri="{C3380CC4-5D6E-409C-BE32-E72D297353CC}">
              <c16:uniqueId val="{00000001-0A5B-442A-9C44-ED0A42C59F23}"/>
            </c:ext>
          </c:extLst>
        </c:ser>
        <c:dLbls>
          <c:showLegendKey val="0"/>
          <c:showVal val="0"/>
          <c:showCatName val="0"/>
          <c:showSerName val="0"/>
          <c:showPercent val="0"/>
          <c:showBubbleSize val="0"/>
        </c:dLbls>
        <c:gapWidth val="219"/>
        <c:overlap val="-27"/>
        <c:axId val="669109544"/>
        <c:axId val="669105280"/>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3"/>
                      <c:pt idx="0">
                        <c:v>Band 1</c:v>
                      </c:pt>
                      <c:pt idx="1">
                        <c:v>Band 2</c:v>
                      </c:pt>
                      <c:pt idx="2">
                        <c:v>Band 3</c:v>
                      </c:pt>
                      <c:pt idx="3">
                        <c:v>Band 4</c:v>
                      </c:pt>
                      <c:pt idx="4">
                        <c:v>Band 5</c:v>
                      </c:pt>
                      <c:pt idx="5">
                        <c:v>Band 6</c:v>
                      </c:pt>
                      <c:pt idx="6">
                        <c:v> Band 7</c:v>
                      </c:pt>
                      <c:pt idx="7">
                        <c:v>Band 8a</c:v>
                      </c:pt>
                      <c:pt idx="8">
                        <c:v>Band 8b</c:v>
                      </c:pt>
                      <c:pt idx="9">
                        <c:v>Band 8c</c:v>
                      </c:pt>
                      <c:pt idx="10">
                        <c:v>Band 8d</c:v>
                      </c:pt>
                      <c:pt idx="11">
                        <c:v>Band 9</c:v>
                      </c:pt>
                      <c:pt idx="12">
                        <c:v>VSM</c:v>
                      </c:pt>
                    </c:strCache>
                  </c:strRef>
                </c:cat>
                <c:val>
                  <c:numRef>
                    <c:extLst>
                      <c:ext uri="{02D57815-91ED-43cb-92C2-25804820EDAC}">
                        <c15:formulaRef>
                          <c15:sqref>Sheet1!$D$2:$D$14</c15:sqref>
                        </c15:formulaRef>
                      </c:ext>
                    </c:extLst>
                    <c:numCache>
                      <c:formatCode>General</c:formatCode>
                      <c:ptCount val="13"/>
                    </c:numCache>
                  </c:numRef>
                </c:val>
                <c:extLst>
                  <c:ext xmlns:c16="http://schemas.microsoft.com/office/drawing/2014/chart" uri="{C3380CC4-5D6E-409C-BE32-E72D297353CC}">
                    <c16:uniqueId val="{00000002-0A5B-442A-9C44-ED0A42C59F23}"/>
                  </c:ext>
                </c:extLst>
              </c15:ser>
            </c15:filteredBarSeries>
          </c:ext>
        </c:extLst>
      </c:barChart>
      <c:catAx>
        <c:axId val="66910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105280"/>
        <c:crosses val="autoZero"/>
        <c:auto val="1"/>
        <c:lblAlgn val="ctr"/>
        <c:lblOffset val="100"/>
        <c:noMultiLvlLbl val="0"/>
      </c:catAx>
      <c:valAx>
        <c:axId val="66910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10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White</a:t>
            </a:r>
            <a:r>
              <a:rPr lang="en-GB" baseline="0"/>
              <a:t> and BAME Clinical Workforce excluding medical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cat>
            <c:strRef>
              <c:f>Sheet1!$A$2:$A$14</c:f>
              <c:strCache>
                <c:ptCount val="13"/>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strCache>
            </c:strRef>
          </c:cat>
          <c:val>
            <c:numRef>
              <c:f>Sheet1!$B$2:$B$14</c:f>
              <c:numCache>
                <c:formatCode>General</c:formatCode>
                <c:ptCount val="13"/>
                <c:pt idx="0">
                  <c:v>3</c:v>
                </c:pt>
                <c:pt idx="1">
                  <c:v>143</c:v>
                </c:pt>
                <c:pt idx="2">
                  <c:v>349</c:v>
                </c:pt>
                <c:pt idx="3">
                  <c:v>209</c:v>
                </c:pt>
                <c:pt idx="4">
                  <c:v>348</c:v>
                </c:pt>
                <c:pt idx="5">
                  <c:v>691</c:v>
                </c:pt>
                <c:pt idx="6">
                  <c:v>399</c:v>
                </c:pt>
                <c:pt idx="7">
                  <c:v>134</c:v>
                </c:pt>
                <c:pt idx="8">
                  <c:v>46</c:v>
                </c:pt>
                <c:pt idx="9">
                  <c:v>10</c:v>
                </c:pt>
                <c:pt idx="10">
                  <c:v>11</c:v>
                </c:pt>
                <c:pt idx="11">
                  <c:v>1</c:v>
                </c:pt>
                <c:pt idx="12">
                  <c:v>1</c:v>
                </c:pt>
              </c:numCache>
            </c:numRef>
          </c:val>
          <c:extLst>
            <c:ext xmlns:c16="http://schemas.microsoft.com/office/drawing/2014/chart" uri="{C3380CC4-5D6E-409C-BE32-E72D297353CC}">
              <c16:uniqueId val="{00000000-7548-4DA1-9084-628AE29B3601}"/>
            </c:ext>
          </c:extLst>
        </c:ser>
        <c:ser>
          <c:idx val="1"/>
          <c:order val="1"/>
          <c:tx>
            <c:strRef>
              <c:f>Sheet1!$C$1</c:f>
              <c:strCache>
                <c:ptCount val="1"/>
                <c:pt idx="0">
                  <c:v>BAME</c:v>
                </c:pt>
              </c:strCache>
            </c:strRef>
          </c:tx>
          <c:spPr>
            <a:solidFill>
              <a:schemeClr val="accent2"/>
            </a:solidFill>
            <a:ln>
              <a:noFill/>
            </a:ln>
            <a:effectLst/>
          </c:spPr>
          <c:invertIfNegative val="0"/>
          <c:cat>
            <c:strRef>
              <c:f>Sheet1!$A$2:$A$14</c:f>
              <c:strCache>
                <c:ptCount val="13"/>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strCache>
            </c:strRef>
          </c:cat>
          <c:val>
            <c:numRef>
              <c:f>Sheet1!$C$2:$C$14</c:f>
              <c:numCache>
                <c:formatCode>General</c:formatCode>
                <c:ptCount val="13"/>
                <c:pt idx="0">
                  <c:v>0</c:v>
                </c:pt>
                <c:pt idx="1">
                  <c:v>25</c:v>
                </c:pt>
                <c:pt idx="2">
                  <c:v>26</c:v>
                </c:pt>
                <c:pt idx="3">
                  <c:v>16</c:v>
                </c:pt>
                <c:pt idx="4">
                  <c:v>73</c:v>
                </c:pt>
                <c:pt idx="5">
                  <c:v>49</c:v>
                </c:pt>
                <c:pt idx="6">
                  <c:v>24</c:v>
                </c:pt>
                <c:pt idx="7">
                  <c:v>9</c:v>
                </c:pt>
                <c:pt idx="8">
                  <c:v>2</c:v>
                </c:pt>
                <c:pt idx="9">
                  <c:v>2</c:v>
                </c:pt>
                <c:pt idx="10">
                  <c:v>1</c:v>
                </c:pt>
                <c:pt idx="11">
                  <c:v>0</c:v>
                </c:pt>
                <c:pt idx="12">
                  <c:v>0</c:v>
                </c:pt>
              </c:numCache>
            </c:numRef>
          </c:val>
          <c:extLst>
            <c:ext xmlns:c16="http://schemas.microsoft.com/office/drawing/2014/chart" uri="{C3380CC4-5D6E-409C-BE32-E72D297353CC}">
              <c16:uniqueId val="{00000001-7548-4DA1-9084-628AE29B3601}"/>
            </c:ext>
          </c:extLst>
        </c:ser>
        <c:ser>
          <c:idx val="2"/>
          <c:order val="2"/>
          <c:tx>
            <c:strRef>
              <c:f>Sheet1!$D$1</c:f>
              <c:strCache>
                <c:ptCount val="1"/>
                <c:pt idx="0">
                  <c:v>Column1</c:v>
                </c:pt>
              </c:strCache>
            </c:strRef>
          </c:tx>
          <c:spPr>
            <a:solidFill>
              <a:schemeClr val="accent3"/>
            </a:solidFill>
            <a:ln>
              <a:noFill/>
            </a:ln>
            <a:effectLst/>
          </c:spPr>
          <c:invertIfNegative val="0"/>
          <c:cat>
            <c:strRef>
              <c:f>Sheet1!$A$2:$A$14</c:f>
              <c:strCache>
                <c:ptCount val="13"/>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strCache>
            </c:strRef>
          </c:cat>
          <c:val>
            <c:numRef>
              <c:f>Sheet1!$D$2:$D$14</c:f>
              <c:numCache>
                <c:formatCode>General</c:formatCode>
                <c:ptCount val="13"/>
              </c:numCache>
            </c:numRef>
          </c:val>
          <c:extLst>
            <c:ext xmlns:c16="http://schemas.microsoft.com/office/drawing/2014/chart" uri="{C3380CC4-5D6E-409C-BE32-E72D297353CC}">
              <c16:uniqueId val="{00000002-7548-4DA1-9084-628AE29B3601}"/>
            </c:ext>
          </c:extLst>
        </c:ser>
        <c:dLbls>
          <c:showLegendKey val="0"/>
          <c:showVal val="0"/>
          <c:showCatName val="0"/>
          <c:showSerName val="0"/>
          <c:showPercent val="0"/>
          <c:showBubbleSize val="0"/>
        </c:dLbls>
        <c:gapWidth val="219"/>
        <c:overlap val="-27"/>
        <c:axId val="663114584"/>
        <c:axId val="663111304"/>
      </c:barChart>
      <c:catAx>
        <c:axId val="66311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111304"/>
        <c:crosses val="autoZero"/>
        <c:auto val="1"/>
        <c:lblAlgn val="ctr"/>
        <c:lblOffset val="100"/>
        <c:noMultiLvlLbl val="0"/>
      </c:catAx>
      <c:valAx>
        <c:axId val="66311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11458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Ethnicity</a:t>
            </a:r>
            <a:r>
              <a:rPr lang="en-GB" baseline="0"/>
              <a:t> of medical staff</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cat>
            <c:strRef>
              <c:f>Sheet1!$A$2:$A$5</c:f>
              <c:strCache>
                <c:ptCount val="4"/>
                <c:pt idx="0">
                  <c:v>Consultants</c:v>
                </c:pt>
                <c:pt idx="1">
                  <c:v>Non-Consultant Career Grade</c:v>
                </c:pt>
                <c:pt idx="2">
                  <c:v>Traine Grades</c:v>
                </c:pt>
                <c:pt idx="3">
                  <c:v>Other</c:v>
                </c:pt>
              </c:strCache>
            </c:strRef>
          </c:cat>
          <c:val>
            <c:numRef>
              <c:f>Sheet1!$B$2:$B$5</c:f>
              <c:numCache>
                <c:formatCode>General</c:formatCode>
                <c:ptCount val="4"/>
                <c:pt idx="0">
                  <c:v>33</c:v>
                </c:pt>
                <c:pt idx="1">
                  <c:v>48</c:v>
                </c:pt>
                <c:pt idx="2">
                  <c:v>22</c:v>
                </c:pt>
                <c:pt idx="3">
                  <c:v>16</c:v>
                </c:pt>
              </c:numCache>
            </c:numRef>
          </c:val>
          <c:extLst>
            <c:ext xmlns:c16="http://schemas.microsoft.com/office/drawing/2014/chart" uri="{C3380CC4-5D6E-409C-BE32-E72D297353CC}">
              <c16:uniqueId val="{00000000-E6D8-4D37-B6EE-88094E90A3E6}"/>
            </c:ext>
          </c:extLst>
        </c:ser>
        <c:ser>
          <c:idx val="1"/>
          <c:order val="1"/>
          <c:tx>
            <c:strRef>
              <c:f>Sheet1!$C$1</c:f>
              <c:strCache>
                <c:ptCount val="1"/>
                <c:pt idx="0">
                  <c:v>BAME</c:v>
                </c:pt>
              </c:strCache>
            </c:strRef>
          </c:tx>
          <c:spPr>
            <a:solidFill>
              <a:schemeClr val="accent2"/>
            </a:solidFill>
            <a:ln>
              <a:noFill/>
            </a:ln>
            <a:effectLst/>
          </c:spPr>
          <c:invertIfNegative val="0"/>
          <c:cat>
            <c:strRef>
              <c:f>Sheet1!$A$2:$A$5</c:f>
              <c:strCache>
                <c:ptCount val="4"/>
                <c:pt idx="0">
                  <c:v>Consultants</c:v>
                </c:pt>
                <c:pt idx="1">
                  <c:v>Non-Consultant Career Grade</c:v>
                </c:pt>
                <c:pt idx="2">
                  <c:v>Traine Grades</c:v>
                </c:pt>
                <c:pt idx="3">
                  <c:v>Other</c:v>
                </c:pt>
              </c:strCache>
            </c:strRef>
          </c:cat>
          <c:val>
            <c:numRef>
              <c:f>Sheet1!$C$2:$C$5</c:f>
              <c:numCache>
                <c:formatCode>General</c:formatCode>
                <c:ptCount val="4"/>
                <c:pt idx="0">
                  <c:v>19</c:v>
                </c:pt>
                <c:pt idx="1">
                  <c:v>23</c:v>
                </c:pt>
                <c:pt idx="2">
                  <c:v>6</c:v>
                </c:pt>
                <c:pt idx="3">
                  <c:v>8</c:v>
                </c:pt>
              </c:numCache>
            </c:numRef>
          </c:val>
          <c:extLst>
            <c:ext xmlns:c16="http://schemas.microsoft.com/office/drawing/2014/chart" uri="{C3380CC4-5D6E-409C-BE32-E72D297353CC}">
              <c16:uniqueId val="{00000001-E6D8-4D37-B6EE-88094E90A3E6}"/>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4"/>
                <c:pt idx="0">
                  <c:v>Consultants</c:v>
                </c:pt>
                <c:pt idx="1">
                  <c:v>Non-Consultant Career Grade</c:v>
                </c:pt>
                <c:pt idx="2">
                  <c:v>Traine Grades</c:v>
                </c:pt>
                <c:pt idx="3">
                  <c:v>Other</c:v>
                </c:pt>
              </c:strCache>
            </c:strRef>
          </c:cat>
          <c:val>
            <c:numRef>
              <c:f>Sheet1!$D$2:$D$5</c:f>
              <c:numCache>
                <c:formatCode>General</c:formatCode>
                <c:ptCount val="4"/>
              </c:numCache>
            </c:numRef>
          </c:val>
          <c:extLst>
            <c:ext xmlns:c16="http://schemas.microsoft.com/office/drawing/2014/chart" uri="{C3380CC4-5D6E-409C-BE32-E72D297353CC}">
              <c16:uniqueId val="{00000002-E6D8-4D37-B6EE-88094E90A3E6}"/>
            </c:ext>
          </c:extLst>
        </c:ser>
        <c:dLbls>
          <c:showLegendKey val="0"/>
          <c:showVal val="0"/>
          <c:showCatName val="0"/>
          <c:showSerName val="0"/>
          <c:showPercent val="0"/>
          <c:showBubbleSize val="0"/>
        </c:dLbls>
        <c:gapWidth val="219"/>
        <c:overlap val="-27"/>
        <c:axId val="750853824"/>
        <c:axId val="750846280"/>
      </c:barChart>
      <c:catAx>
        <c:axId val="75085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846280"/>
        <c:crosses val="autoZero"/>
        <c:auto val="1"/>
        <c:lblAlgn val="ctr"/>
        <c:lblOffset val="100"/>
        <c:noMultiLvlLbl val="0"/>
      </c:catAx>
      <c:valAx>
        <c:axId val="750846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85382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C4B2-69E5-479E-A53E-ABFDE5DA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Sonpal, Kate - Head of Diversity &amp; Inclusion</dc:creator>
  <cp:keywords/>
  <dc:description/>
  <cp:lastModifiedBy>Sonpal, Kate - Head of Diversity &amp; Inclusion</cp:lastModifiedBy>
  <cp:revision>9</cp:revision>
  <dcterms:created xsi:type="dcterms:W3CDTF">2021-09-06T14:29:00Z</dcterms:created>
  <dcterms:modified xsi:type="dcterms:W3CDTF">2021-09-09T14:46:00Z</dcterms:modified>
</cp:coreProperties>
</file>